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-992505</wp:posOffset>
            </wp:positionH>
            <wp:positionV relativeFrom="paragraph">
              <wp:posOffset>-1385570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安平县农林局</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安平县农林局</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2650" w:firstLineChars="600"/>
        <w:rPr>
          <w:rFonts w:hint="eastAsia" w:ascii="楷体" w:hAnsi="楷体" w:eastAsia="楷体" w:cs="楷体"/>
          <w:b/>
          <w:sz w:val="44"/>
          <w:szCs w:val="44"/>
        </w:rPr>
      </w:pPr>
      <w:r>
        <w:rPr>
          <w:rFonts w:hint="eastAsia" w:ascii="楷体" w:hAnsi="楷体" w:eastAsia="楷体" w:cs="楷体"/>
          <w:b/>
          <w:sz w:val="44"/>
          <w:szCs w:val="44"/>
        </w:rPr>
        <w:t>（部门公章）</w:t>
      </w:r>
    </w:p>
    <w:p>
      <w:pPr>
        <w:widowControl/>
        <w:ind w:firstLine="2650" w:firstLineChars="600"/>
        <w:rPr>
          <w:rFonts w:hint="eastAsia" w:ascii="楷体" w:hAnsi="楷体" w:eastAsia="楷体" w:cs="楷体"/>
          <w:b/>
          <w:sz w:val="44"/>
          <w:szCs w:val="44"/>
          <w:lang w:val="en-US" w:eastAsia="zh-CN"/>
        </w:rPr>
      </w:pPr>
      <w:r>
        <w:rPr>
          <w:rFonts w:hint="eastAsia" w:ascii="楷体" w:hAnsi="楷体" w:eastAsia="楷体" w:cs="楷体"/>
          <w:b/>
          <w:sz w:val="44"/>
          <w:szCs w:val="44"/>
        </w:rPr>
        <w:t>二〇一九年</w:t>
      </w:r>
      <w:r>
        <w:rPr>
          <w:rFonts w:hint="eastAsia" w:ascii="楷体" w:hAnsi="楷体" w:eastAsia="楷体" w:cs="楷体"/>
          <w:b/>
          <w:sz w:val="44"/>
          <w:szCs w:val="44"/>
          <w:lang w:val="en-US" w:eastAsia="zh-CN"/>
        </w:rPr>
        <w:t>十月</w:t>
      </w:r>
    </w:p>
    <w:p>
      <w:pPr>
        <w:pStyle w:val="2"/>
      </w:pPr>
    </w:p>
    <w:p>
      <w:pPr>
        <w:tabs>
          <w:tab w:val="left" w:pos="5853"/>
        </w:tabs>
        <w:bidi w:val="0"/>
        <w:jc w:val="left"/>
        <w:rPr>
          <w:rFonts w:hint="eastAsia"/>
          <w:lang w:val="en-US" w:eastAsia="zh-CN"/>
        </w:rPr>
        <w:sectPr>
          <w:pgSz w:w="11906" w:h="16838"/>
          <w:pgMar w:top="2098" w:right="1474" w:bottom="1984" w:left="1588" w:header="851" w:footer="992" w:gutter="0"/>
          <w:cols w:space="0" w:num="1"/>
          <w:docGrid w:type="lines" w:linePitch="312" w:charSpace="0"/>
        </w:sectPr>
      </w:pP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安平县农林局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-777875</wp:posOffset>
                </wp:positionH>
                <wp:positionV relativeFrom="page">
                  <wp:posOffset>479425</wp:posOffset>
                </wp:positionV>
                <wp:extent cx="2833370" cy="532130"/>
                <wp:effectExtent l="0" t="0" r="16510" b="16510"/>
                <wp:wrapNone/>
                <wp:docPr id="176" name="组合 176"/>
                <wp:cNvGraphicFramePr/>
                <a:graphic xmlns:a="http://schemas.openxmlformats.org/drawingml/2006/main">
                  <a:graphicData uri="http://schemas.microsoft.com/office/word/2010/wordprocessingGroup">
                    <wpg:wgp>
                      <wpg:cNvGrpSpPr/>
                      <wpg:grpSpPr>
                        <a:xfrm>
                          <a:off x="0" y="0"/>
                          <a:ext cx="2833533" cy="532423"/>
                          <a:chOff x="-4310" y="52579"/>
                          <a:chExt cx="8558" cy="1255"/>
                        </a:xfrm>
                      </wpg:grpSpPr>
                      <wps:wsp>
                        <wps:cNvPr id="177" name="矩形 13"/>
                        <wps:cNvSpPr/>
                        <wps:spPr>
                          <a:xfrm>
                            <a:off x="-4310" y="52579"/>
                            <a:ext cx="8546" cy="117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076" y="52711"/>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1.25pt;margin-top:37.75pt;height:41.9pt;width:223.1pt;mso-position-vertical-relative:page;z-index:251672576;mso-width-relative:page;mso-height-relative:page;" coordorigin="-4310,52579" coordsize="8558,1255" o:gfxdata="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4v7UzbAAAACwEAAA8A&#10;AAAAAAAAAQAgAAAAIgAAAGRycy9kb3ducmV2LnhtbFBLAQIUABQAAAAIAIdO4kAVIKG6MQMAAPUI&#10;AAAOAAAAAAAAAAEAIAAAACoBAABkcnMvZTJvRG9jLnhtbFBLBQYAAAAABgAGAFkBAADNBgAAAAA=&#10;">
                <o:lock v:ext="edit" aspectratio="f"/>
                <v:rect id="矩形 13" o:spid="_x0000_s1026" o:spt="1" style="position:absolute;left:-4310;top:52579;height:1176;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076;top:52711;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3"/>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spacing w:after="100" w:afterAutospacing="1" w:line="360" w:lineRule="auto"/>
        <w:ind w:firstLine="640" w:firstLineChars="200"/>
        <w:rPr>
          <w:rFonts w:hint="eastAsia" w:ascii="仿宋_GB2312" w:hAnsi="仿宋" w:eastAsia="仿宋_GB2312"/>
          <w:sz w:val="32"/>
          <w:szCs w:val="32"/>
        </w:rPr>
      </w:pPr>
      <w:r>
        <w:rPr>
          <w:rFonts w:hint="eastAsia" w:ascii="仿宋_GB2312" w:hAnsi="仿宋" w:eastAsia="仿宋_GB2312"/>
          <w:sz w:val="32"/>
          <w:szCs w:val="32"/>
        </w:rPr>
        <w:t>（一）基本情况。</w:t>
      </w:r>
    </w:p>
    <w:p>
      <w:pPr>
        <w:spacing w:after="100" w:afterAutospacing="1" w:line="360" w:lineRule="auto"/>
        <w:ind w:firstLine="640" w:firstLineChars="200"/>
        <w:rPr>
          <w:rFonts w:hint="eastAsia" w:ascii="仿宋_GB2312" w:hAnsi="仿宋" w:eastAsia="仿宋_GB2312"/>
          <w:sz w:val="32"/>
          <w:szCs w:val="32"/>
        </w:rPr>
      </w:pPr>
      <w:r>
        <w:rPr>
          <w:rFonts w:hint="eastAsia" w:ascii="仿宋_GB2312" w:hAnsi="仿宋" w:eastAsia="仿宋_GB2312"/>
          <w:sz w:val="32"/>
          <w:szCs w:val="32"/>
        </w:rPr>
        <w:t>1．主要职能。</w:t>
      </w:r>
      <w:r>
        <w:rPr>
          <w:rFonts w:hint="eastAsia" w:ascii="仿宋_GB2312" w:hAnsi="宋体" w:eastAsia="仿宋_GB2312"/>
          <w:sz w:val="32"/>
          <w:szCs w:val="32"/>
        </w:rPr>
        <w:t>（一）贯彻落实国家和省农业、农村政策，研究拟订全县种植业、畜牧业、渔业、农业机械化、农垦、林业等农业各产业（以下简称农业）和农村经济发展中长期规划、年度生产计划、农业综合规划和专业规划，经批准后组织实施。提出有关农产品及农业生产资料价格、大宗农产品流通、农村信贷、税收、金融保险及农业财政补贴政策建议。执行农业和农业经济法律法规，推进农业依法执行。</w:t>
      </w:r>
    </w:p>
    <w:p>
      <w:pPr>
        <w:spacing w:after="100" w:afterAutospacing="1" w:line="360" w:lineRule="auto"/>
        <w:ind w:firstLine="640" w:firstLineChars="200"/>
        <w:rPr>
          <w:rFonts w:hint="eastAsia" w:ascii="仿宋_GB2312" w:hAnsi="仿宋" w:eastAsia="仿宋_GB2312"/>
          <w:sz w:val="32"/>
          <w:szCs w:val="32"/>
        </w:rPr>
      </w:pPr>
      <w:r>
        <w:rPr>
          <w:rFonts w:hint="eastAsia" w:ascii="仿宋_GB2312" w:hAnsi="宋体" w:eastAsia="仿宋_GB2312"/>
          <w:sz w:val="32"/>
          <w:szCs w:val="32"/>
        </w:rPr>
        <w:t>（二）承担完善农村经营管理体制的责任。研究提出深化农村经济体制改革和稳定完善农村基本经营制度的政策建议；指导农村经济组织的建设和发展；指导农村土地承包、耕地使用权流转和承包纠纷仲裁管理；指导、监督减轻农民负担和村民筹资筹劳管理工作，指导农村集体资产和财务管理。参与拟订全县农业产业化经营的发展规划并组织实施，指导、扶持农业社会化服务体系和农产品行业协会建设与发展，负责对种植业、林业、畜牧业、渔业农民专业合作组织的管理、扶持和服务。</w:t>
      </w:r>
    </w:p>
    <w:p>
      <w:pPr>
        <w:spacing w:after="100" w:afterAutospacing="1" w:line="360" w:lineRule="auto"/>
        <w:ind w:firstLine="640" w:firstLineChars="200"/>
        <w:rPr>
          <w:rFonts w:hint="eastAsia" w:ascii="仿宋_GB2312" w:hAnsi="仿宋" w:eastAsia="仿宋_GB2312"/>
          <w:sz w:val="32"/>
          <w:szCs w:val="32"/>
        </w:rPr>
      </w:pPr>
      <w:r>
        <w:rPr>
          <w:rFonts w:hint="eastAsia" w:ascii="仿宋_GB2312" w:hAnsi="宋体" w:eastAsia="仿宋_GB2312"/>
          <w:sz w:val="32"/>
          <w:szCs w:val="32"/>
        </w:rPr>
        <w:t>（三）指导粮食等主要农产品生产，组织落实促进主要农产品生产发展的相关政策措施，引导农业产业结构调整和产品品质的改善。会同有关部门指导农业标准化、规模化生产。负责提出农业固定资产投资规模和方向、财政性资金安排的意见。提出扶持农业农村发展的财政政策和项目建议，经批准后组织实施。</w:t>
      </w:r>
    </w:p>
    <w:p>
      <w:pPr>
        <w:spacing w:after="100" w:afterAutospacing="1" w:line="360" w:lineRule="auto"/>
        <w:ind w:firstLine="640" w:firstLineChars="200"/>
        <w:rPr>
          <w:rFonts w:hint="eastAsia" w:ascii="仿宋_GB2312" w:hAnsi="仿宋" w:eastAsia="仿宋_GB2312"/>
          <w:sz w:val="32"/>
          <w:szCs w:val="32"/>
        </w:rPr>
      </w:pPr>
      <w:r>
        <w:rPr>
          <w:rFonts w:hint="eastAsia" w:ascii="仿宋_GB2312" w:hAnsi="宋体" w:eastAsia="仿宋_GB2312"/>
          <w:sz w:val="32"/>
          <w:szCs w:val="32"/>
        </w:rPr>
        <w:t>（四）促进农业产前、产中、产后一体化发展，组织拟订促进农产品加工业发展规划并组织实施。提出农业产业保护政策建议。指导农产品加工业结构调整、技术创新和服务体系建设。</w:t>
      </w:r>
    </w:p>
    <w:p>
      <w:pPr>
        <w:spacing w:after="100" w:afterAutospacing="1" w:line="360" w:lineRule="auto"/>
        <w:ind w:firstLine="640" w:firstLineChars="200"/>
        <w:rPr>
          <w:rFonts w:hint="eastAsia" w:ascii="仿宋_GB2312" w:hAnsi="仿宋" w:eastAsia="仿宋_GB2312"/>
          <w:sz w:val="32"/>
          <w:szCs w:val="32"/>
        </w:rPr>
      </w:pPr>
      <w:r>
        <w:rPr>
          <w:rFonts w:hint="eastAsia" w:ascii="仿宋_GB2312" w:hAnsi="宋体" w:eastAsia="仿宋_GB2312"/>
          <w:sz w:val="32"/>
          <w:szCs w:val="32"/>
        </w:rPr>
        <w:t>提出促进大宗农产品流通的政策建议和主要农产品的进出口建议。制定大宗农产品市场体系建设与发展规划。培育、保护和发展农产品品牌。</w:t>
      </w:r>
    </w:p>
    <w:p>
      <w:pPr>
        <w:spacing w:after="100" w:afterAutospacing="1" w:line="360" w:lineRule="auto"/>
        <w:ind w:firstLine="640" w:firstLineChars="200"/>
        <w:rPr>
          <w:rFonts w:hint="eastAsia" w:ascii="仿宋_GB2312" w:hAnsi="仿宋" w:eastAsia="仿宋_GB2312"/>
          <w:sz w:val="32"/>
          <w:szCs w:val="32"/>
        </w:rPr>
      </w:pPr>
      <w:r>
        <w:rPr>
          <w:rFonts w:hint="eastAsia" w:ascii="仿宋_GB2312" w:hAnsi="宋体" w:eastAsia="仿宋_GB2312"/>
          <w:sz w:val="32"/>
          <w:szCs w:val="32"/>
        </w:rPr>
        <w:t>（五）依法开展农产品质量安全监督管理和安全监测。参与制订农产品质量安全地方标准并会同有关部门组织实施。指导农业检验检测体系建设。依法实施符合安全标准的农产品认证和监督管理。（六）组织、协调农业生产资料市场体系建设。依法开展农作物种子（种苗）、草种、种畜禽、水产苗种、农药、兽药、饲料、饲料添加剂的监督管理。依法负责渔船、鱼机、网具的监督管理。负责兽医医疗器械和有关肥料的监督管理。指导农业机械化发展。</w:t>
      </w:r>
    </w:p>
    <w:p>
      <w:pPr>
        <w:spacing w:after="100" w:afterAutospacing="1" w:line="360" w:lineRule="auto"/>
        <w:ind w:firstLine="640" w:firstLineChars="200"/>
        <w:rPr>
          <w:rFonts w:hint="eastAsia" w:ascii="仿宋_GB2312" w:hAnsi="仿宋" w:eastAsia="仿宋_GB2312"/>
          <w:sz w:val="32"/>
          <w:szCs w:val="32"/>
        </w:rPr>
      </w:pPr>
      <w:r>
        <w:rPr>
          <w:rFonts w:hint="eastAsia" w:ascii="仿宋_GB2312" w:hAnsi="宋体" w:eastAsia="仿宋_GB2312"/>
          <w:sz w:val="32"/>
          <w:szCs w:val="32"/>
        </w:rPr>
        <w:t>（七）负责动植物重大疫病和病虫害防治。执行有关动植物防疫和检疫的法规、规章、制度和动植物防疫检疫政策。组织实施动植物防疫和检疫体系建设。组织、监督全县境内动植物的防疫检疫工作，发布疫情并组织扑灭。组织植物检疫性有害生物普查。组织兽医医政、兽药药政药检工作。负责执业兽医的管理。</w:t>
      </w:r>
    </w:p>
    <w:p>
      <w:pPr>
        <w:pStyle w:val="3"/>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安平县农林局</w:t>
            </w:r>
            <w:r>
              <w:rPr>
                <w:rFonts w:hint="eastAsia" w:ascii="仿宋_GB2312" w:eastAsia="仿宋_GB2312" w:cs="ArialUnicodeMS" w:hAnsiTheme="minorHAnsi"/>
                <w:kern w:val="0"/>
                <w:sz w:val="28"/>
                <w:szCs w:val="28"/>
              </w:rPr>
              <w:t>(本级)</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bl>
    <w:p>
      <w:pPr>
        <w:pStyle w:val="2"/>
        <w:jc w:val="center"/>
        <w:rPr>
          <w:rFonts w:hint="eastAsia" w:ascii="黑体" w:eastAsia="黑体" w:cs="黑体" w:hAnsiTheme="minorHAnsi"/>
          <w:b w:val="0"/>
          <w:bCs w:val="0"/>
          <w:kern w:val="0"/>
          <w:sz w:val="32"/>
          <w:szCs w:val="32"/>
          <w:lang w:val="en-US" w:eastAsia="zh-CN"/>
        </w:rPr>
      </w:pPr>
    </w:p>
    <w:p>
      <w:pPr>
        <w:pStyle w:val="2"/>
        <w:jc w:val="center"/>
        <w:rPr>
          <w:rFonts w:hint="eastAsia" w:ascii="仿宋_GB2312" w:eastAsia="黑体" w:cs="ArialUnicodeMS" w:hAnsiTheme="minorHAnsi"/>
          <w:kern w:val="0"/>
          <w:sz w:val="32"/>
          <w:szCs w:val="32"/>
          <w:lang w:val="en-US" w:eastAsia="zh-CN"/>
        </w:rPr>
      </w:pPr>
      <w:r>
        <w:rPr>
          <w:rFonts w:hint="eastAsia" w:ascii="黑体" w:eastAsia="黑体" w:cs="黑体" w:hAnsiTheme="minorHAnsi"/>
          <w:b w:val="0"/>
          <w:bCs w:val="0"/>
          <w:kern w:val="0"/>
          <w:sz w:val="32"/>
          <w:szCs w:val="32"/>
          <w:lang w:val="en-US" w:eastAsia="zh-CN"/>
        </w:rPr>
        <w:t>部门</w:t>
      </w:r>
      <w:r>
        <w:rPr>
          <w:rFonts w:hint="eastAsia" w:ascii="黑体" w:eastAsia="黑体" w:cs="黑体" w:hAnsiTheme="minorHAnsi"/>
          <w:b w:val="0"/>
          <w:bCs w:val="0"/>
          <w:kern w:val="0"/>
          <w:sz w:val="32"/>
          <w:szCs w:val="32"/>
        </w:rPr>
        <w:t>机构设置</w:t>
      </w:r>
      <w:r>
        <w:rPr>
          <w:rFonts w:hint="eastAsia" w:ascii="黑体" w:eastAsia="黑体" w:cs="黑体" w:hAnsiTheme="minorHAnsi"/>
          <w:b w:val="0"/>
          <w:bCs w:val="0"/>
          <w:kern w:val="0"/>
          <w:sz w:val="32"/>
          <w:szCs w:val="32"/>
          <w:lang w:val="en-US" w:eastAsia="zh-CN"/>
        </w:rPr>
        <w:t>情况</w:t>
      </w:r>
    </w:p>
    <w:p>
      <w:pPr>
        <w:pStyle w:val="2"/>
        <w:rPr>
          <w:rFonts w:hint="eastAsia" w:ascii="仿宋_GB2312" w:eastAsia="仿宋_GB2312" w:cs="ArialUnicodeMS" w:hAnsiTheme="minorHAnsi"/>
          <w:kern w:val="0"/>
          <w:sz w:val="32"/>
          <w:szCs w:val="32"/>
        </w:rPr>
      </w:pPr>
    </w:p>
    <w:tbl>
      <w:tblPr>
        <w:tblStyle w:val="14"/>
        <w:tblpPr w:leftFromText="180" w:rightFromText="180" w:vertAnchor="text" w:horzAnchor="page" w:tblpXSpec="center" w:tblpY="10"/>
        <w:tblOverlap w:val="never"/>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办公室</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事业</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财务室</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人事科</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科教科</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新能源</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农安办</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执法大队</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农经站</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生产科</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技术站</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农广校</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植保站</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农机管理站</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485" w:type="dxa"/>
            <w:tcBorders>
              <w:bottom w:val="single" w:color="auto" w:sz="4" w:space="0"/>
            </w:tcBorders>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动监所</w:t>
            </w:r>
          </w:p>
        </w:tc>
        <w:tc>
          <w:tcPr>
            <w:tcW w:w="2445"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485" w:type="dxa"/>
            <w:tcBorders>
              <w:bottom w:val="single" w:color="auto" w:sz="4" w:space="0"/>
            </w:tcBorders>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疫控中心</w:t>
            </w:r>
          </w:p>
        </w:tc>
        <w:tc>
          <w:tcPr>
            <w:tcW w:w="2445"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事业</w:t>
            </w:r>
          </w:p>
        </w:tc>
        <w:tc>
          <w:tcPr>
            <w:tcW w:w="2665"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财政拨款</w:t>
            </w: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安平县农林局（</w:t>
            </w:r>
            <w:r>
              <w:rPr>
                <w:rFonts w:hint="eastAsia" w:ascii="宋体" w:hAnsi="宋体" w:cs="宋体"/>
                <w:color w:val="000000"/>
                <w:kern w:val="0"/>
                <w:sz w:val="20"/>
                <w:szCs w:val="20"/>
                <w:lang w:val="en-US" w:eastAsia="zh-CN" w:bidi="ar"/>
              </w:rPr>
              <w:t>本级</w:t>
            </w:r>
            <w:r>
              <w:rPr>
                <w:rFonts w:hint="eastAsia" w:ascii="宋体" w:hAnsi="宋体" w:cs="宋体"/>
                <w:color w:val="000000"/>
                <w:kern w:val="0"/>
                <w:sz w:val="20"/>
                <w:szCs w:val="20"/>
                <w:lang w:eastAsia="zh-CN" w:bidi="ar"/>
              </w:rPr>
              <w:t>）</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23584.07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hint="default" w:ascii="宋体" w:hAnsi="宋体" w:eastAsia="宋体" w:cs="宋体"/>
                <w:color w:val="000000"/>
                <w:sz w:val="20"/>
                <w:szCs w:val="20"/>
                <w:lang w:val="en-US" w:eastAsia="zh-CN"/>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510.00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35.58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36.78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20.14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26074.06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643.50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24094.07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26810.06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12652.36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9936.37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36746.43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36746.43</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安平县农林局（</w:t>
            </w:r>
            <w:r>
              <w:rPr>
                <w:rFonts w:hint="eastAsia" w:ascii="宋体" w:hAnsi="宋体" w:cs="宋体"/>
                <w:color w:val="000000"/>
                <w:kern w:val="0"/>
                <w:szCs w:val="21"/>
                <w:lang w:val="en-US" w:eastAsia="zh-CN" w:bidi="ar"/>
              </w:rPr>
              <w:t>本级</w:t>
            </w:r>
            <w:r>
              <w:rPr>
                <w:rFonts w:hint="eastAsia" w:ascii="宋体" w:hAnsi="宋体" w:cs="宋体"/>
                <w:color w:val="000000"/>
                <w:kern w:val="0"/>
                <w:szCs w:val="21"/>
                <w:lang w:eastAsia="zh-CN" w:bidi="ar"/>
              </w:rPr>
              <w:t>）</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24094.07</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23584.07</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510.00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35.58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35.58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行政事业单位离退休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21.44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r>
              <w:rPr>
                <w:rFonts w:hint="eastAsia" w:ascii="宋体" w:hAnsi="宋体" w:cs="宋体"/>
                <w:color w:val="000000"/>
                <w:szCs w:val="21"/>
                <w:lang w:val="en-US" w:eastAsia="zh-CN"/>
              </w:rPr>
              <w:t>21.44</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事业单位离退休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21.44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21.44</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抚恤</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14.14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14.14</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2080801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死亡抚恤</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14.14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14.14</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节能环保支出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72.00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72.00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退耕还林</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72.00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72.00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2110602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退耕现金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72.00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72.00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农林水支出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22900.49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510.00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21100.54</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事业运行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1630.68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1630.68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农垦运行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11.37</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11.37</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2130106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科技转化与推广服务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6.49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6.49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病虫害控制</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482.70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2130111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统计监测与信息服务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334.68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r>
              <w:rPr>
                <w:rFonts w:hint="eastAsia" w:ascii="宋体" w:hAnsi="宋体" w:cs="宋体"/>
                <w:color w:val="000000"/>
                <w:szCs w:val="21"/>
                <w:lang w:val="en-US" w:eastAsia="zh-CN"/>
              </w:rPr>
              <w:t>334.68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2130121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农业结构调整补贴</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7760.00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7760.00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2130122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农业生产支持补贴</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1980.00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1980.00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2130124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农业组织化与产业化经营</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40.49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40.49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2130135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农业资源保护修复与利用</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1302.51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1302.51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其他农业支出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7551.618689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7551.618689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林业</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656.45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656.45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林业事业机构</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16.00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森林培育</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555.45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555.45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2130234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林业防灾减灾</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80.00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80.00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其他林业支出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5.00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扶贫</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686.80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2130599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其他扶贫支出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686.80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其他农林水支出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456.70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456.70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2139999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其他农林水支出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456.70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456.70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商业服务业等支出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1086.00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1086.00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商业流通事务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1086.00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1086.00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2160299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其他商业流通事务支出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1086.00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1086.00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安平县农林局（</w:t>
            </w:r>
            <w:r>
              <w:rPr>
                <w:rFonts w:hint="eastAsia" w:ascii="宋体" w:hAnsi="宋体" w:cs="宋体"/>
                <w:color w:val="000000"/>
                <w:kern w:val="0"/>
                <w:szCs w:val="21"/>
                <w:lang w:val="en-US" w:eastAsia="zh-CN" w:bidi="ar"/>
              </w:rPr>
              <w:t>本级</w:t>
            </w:r>
            <w:r>
              <w:rPr>
                <w:rFonts w:hint="eastAsia" w:ascii="宋体" w:hAnsi="宋体" w:cs="宋体"/>
                <w:color w:val="000000"/>
                <w:kern w:val="0"/>
                <w:szCs w:val="21"/>
                <w:lang w:eastAsia="zh-CN" w:bidi="ar"/>
              </w:rPr>
              <w:t>）</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26810.06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1676.09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25133.97</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社会保障和就业支出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35.58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35.58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行政事业单位离退休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21.44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21.44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事业单位离退休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21.44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21.44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抚恤</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14.14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2080801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死亡抚恤</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14.14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节能环保支出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36.78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36.78</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污染防治</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4.13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4.13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2110301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大气</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4.13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4.13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21106</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退耕还林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32.65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32.65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2110602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退耕现金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32.65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32.65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城乡社区支出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20.14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国有土地使用权出让收入及对应专项债务收入安排的支出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20.14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2120803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城市建设支出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20.14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农林水支出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26074.06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1640.505035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24433.55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22793.60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1628.505035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21165.10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2130104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事业运行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1617.93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1617.130746</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0.80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农垦运行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11.37</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11.374289</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2130106</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科技转化与推广服务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881.40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881.40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病虫害控制</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259.24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259.24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2130111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统计监测与信息服务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341.19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341.19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2130121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农业结构调整补贴</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7009.60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7009.60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2130122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农业生产支持补贴</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769.52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769.52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2130135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农业资源保护修复与利用</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1322.79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1322.79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2130199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其他农业支出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10580.56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10580.56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林业</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506.45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12.000000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494.45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2130204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林业事业机构</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12.000000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森林培育</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405.45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405.45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2130234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森林防灾减灾</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2130299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其他林业支出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水利</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180.10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r>
              <w:rPr>
                <w:rFonts w:hint="eastAsia" w:ascii="宋体" w:hAnsi="宋体" w:cs="宋体"/>
                <w:color w:val="000000"/>
                <w:szCs w:val="21"/>
                <w:lang w:val="en-US" w:eastAsia="zh-CN"/>
              </w:rPr>
              <w:t>180.10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2130316</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农田水利</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180.10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r>
              <w:rPr>
                <w:rFonts w:hint="eastAsia" w:ascii="宋体" w:hAnsi="宋体" w:cs="宋体"/>
                <w:color w:val="000000"/>
                <w:szCs w:val="21"/>
                <w:lang w:val="en-US" w:eastAsia="zh-CN"/>
              </w:rPr>
              <w:t>180.10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扶贫</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686.80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686.80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2130599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其他扶贫支出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686.80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686.80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其他农林水支出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1907.11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1907.11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2139999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其他农林水支出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1907.11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1907.11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216</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商业服务等支出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643.50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643.50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21602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商业流通事务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643.50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643.50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2160299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其他商业流通事务支出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643.50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643.50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安平县农林局（</w:t>
            </w:r>
            <w:r>
              <w:rPr>
                <w:rFonts w:hint="eastAsia" w:ascii="宋体" w:hAnsi="宋体" w:cs="宋体"/>
                <w:color w:val="000000"/>
                <w:kern w:val="0"/>
                <w:sz w:val="20"/>
                <w:szCs w:val="20"/>
                <w:lang w:val="en-US" w:eastAsia="zh-CN" w:bidi="ar"/>
              </w:rPr>
              <w:t>本级</w:t>
            </w:r>
            <w:r>
              <w:rPr>
                <w:rFonts w:hint="eastAsia" w:ascii="宋体" w:hAnsi="宋体" w:cs="宋体"/>
                <w:color w:val="000000"/>
                <w:kern w:val="0"/>
                <w:sz w:val="20"/>
                <w:szCs w:val="20"/>
                <w:lang w:eastAsia="zh-CN" w:bidi="ar"/>
              </w:rPr>
              <w:t>）</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23584.07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35.58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36.78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20.14</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25564.06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643.50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23584.07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26279.92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12652.36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9936.37</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12632.22</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20.14</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36236.43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36216.29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20.14</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安平县农林局（</w:t>
            </w:r>
            <w:r>
              <w:rPr>
                <w:rFonts w:hint="eastAsia" w:ascii="宋体" w:hAnsi="宋体" w:cs="宋体"/>
                <w:color w:val="000000"/>
                <w:kern w:val="0"/>
                <w:szCs w:val="21"/>
                <w:lang w:val="en-US" w:eastAsia="zh-CN" w:bidi="ar"/>
              </w:rPr>
              <w:t>本级</w:t>
            </w:r>
            <w:r>
              <w:rPr>
                <w:rFonts w:hint="eastAsia" w:ascii="宋体" w:hAnsi="宋体" w:cs="宋体"/>
                <w:color w:val="000000"/>
                <w:kern w:val="0"/>
                <w:szCs w:val="21"/>
                <w:lang w:eastAsia="zh-CN" w:bidi="ar"/>
              </w:rPr>
              <w:t>）</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26279.92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1676.09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24603.83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35.58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35.58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节能环保支出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tbl>
            <w:tblPr>
              <w:tblStyle w:val="13"/>
              <w:tblW w:w="1920" w:type="dxa"/>
              <w:tblInd w:w="0" w:type="dxa"/>
              <w:tblLayout w:type="fixed"/>
              <w:tblCellMar>
                <w:top w:w="0" w:type="dxa"/>
                <w:left w:w="0" w:type="dxa"/>
                <w:bottom w:w="0" w:type="dxa"/>
                <w:right w:w="0" w:type="dxa"/>
              </w:tblCellMar>
            </w:tblPr>
            <w:tblGrid>
              <w:gridCol w:w="1920"/>
            </w:tblGrid>
            <w:tr>
              <w:tblPrEx>
                <w:tblCellMar>
                  <w:top w:w="0" w:type="dxa"/>
                  <w:left w:w="0" w:type="dxa"/>
                  <w:bottom w:w="0" w:type="dxa"/>
                  <w:right w:w="0" w:type="dxa"/>
                </w:tblCellMar>
              </w:tblPrEx>
              <w:trPr>
                <w:trHeight w:val="368" w:hRule="atLeast"/>
              </w:trPr>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36.78</w:t>
                  </w:r>
                </w:p>
              </w:tc>
            </w:tr>
          </w:tbl>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36.78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农林水支出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25564.06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1640.51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23923.55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商业服务业等支出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643.50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643.50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sz w:val="44"/>
              </w:rP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宋体" w:hAnsi="宋体" w:cs="宋体"/>
                <w:color w:val="000000"/>
                <w:kern w:val="0"/>
                <w:sz w:val="22"/>
                <w:szCs w:val="22"/>
                <w:lang w:eastAsia="zh-CN" w:bidi="ar"/>
              </w:rPr>
              <w:t>安平县农林局（</w:t>
            </w:r>
            <w:r>
              <w:rPr>
                <w:rFonts w:hint="eastAsia" w:ascii="宋体" w:hAnsi="宋体" w:cs="宋体"/>
                <w:color w:val="000000"/>
                <w:kern w:val="0"/>
                <w:sz w:val="22"/>
                <w:szCs w:val="22"/>
                <w:lang w:val="en-US" w:eastAsia="zh-CN" w:bidi="ar"/>
              </w:rPr>
              <w:t>本级</w:t>
            </w:r>
            <w:r>
              <w:rPr>
                <w:rFonts w:hint="eastAsia" w:ascii="宋体" w:hAnsi="宋体" w:cs="宋体"/>
                <w:color w:val="000000"/>
                <w:kern w:val="0"/>
                <w:sz w:val="22"/>
                <w:szCs w:val="22"/>
                <w:lang w:eastAsia="zh-CN" w:bidi="ar"/>
              </w:rPr>
              <w:t>）</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1524.68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106.90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617.89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19.57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480.68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9.70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3.67</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60.04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3.67</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211.27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6.26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2.68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50.19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28.80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8.12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3.49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8.93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83.31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4.80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40.82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0.79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20.20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0.92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0.12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20.62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8.39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20.06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1565.50</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110.59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安平县农林局（</w:t>
            </w:r>
            <w:r>
              <w:rPr>
                <w:rFonts w:hint="eastAsia" w:ascii="宋体" w:hAnsi="宋体" w:cs="宋体"/>
                <w:color w:val="000000"/>
                <w:kern w:val="0"/>
                <w:sz w:val="20"/>
                <w:szCs w:val="20"/>
                <w:lang w:val="en-US" w:eastAsia="zh-CN" w:bidi="ar"/>
              </w:rPr>
              <w:t>本级</w:t>
            </w:r>
            <w:r>
              <w:rPr>
                <w:rFonts w:hint="eastAsia" w:ascii="宋体" w:hAnsi="宋体" w:cs="宋体"/>
                <w:color w:val="000000"/>
                <w:kern w:val="0"/>
                <w:sz w:val="20"/>
                <w:szCs w:val="20"/>
                <w:lang w:eastAsia="zh-CN" w:bidi="ar"/>
              </w:rPr>
              <w:t>）</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7.00.00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6.00</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0.12</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0.12</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安平县农林局（</w:t>
            </w:r>
            <w:r>
              <w:rPr>
                <w:rFonts w:hint="eastAsia" w:ascii="宋体" w:hAnsi="宋体" w:cs="宋体"/>
                <w:color w:val="000000"/>
                <w:kern w:val="0"/>
                <w:szCs w:val="21"/>
                <w:lang w:val="en-US" w:eastAsia="zh-CN" w:bidi="ar"/>
              </w:rPr>
              <w:t>本级</w:t>
            </w:r>
            <w:r>
              <w:rPr>
                <w:rFonts w:hint="eastAsia" w:ascii="宋体" w:hAnsi="宋体" w:cs="宋体"/>
                <w:color w:val="000000"/>
                <w:kern w:val="0"/>
                <w:szCs w:val="21"/>
                <w:lang w:eastAsia="zh-CN" w:bidi="ar"/>
              </w:rPr>
              <w:t>）</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default" w:ascii="宋体" w:hAnsi="宋体" w:eastAsia="宋体" w:cs="宋体"/>
                <w:b/>
                <w:color w:val="000000"/>
                <w:szCs w:val="21"/>
                <w:lang w:val="en-US" w:eastAsia="zh-CN"/>
              </w:rPr>
            </w:pPr>
            <w:r>
              <w:rPr>
                <w:rFonts w:hint="eastAsia" w:ascii="宋体" w:hAnsi="宋体" w:cs="宋体"/>
                <w:color w:val="000000"/>
                <w:szCs w:val="21"/>
                <w:lang w:val="en-US" w:eastAsia="zh-CN"/>
              </w:rPr>
              <w:t>20.14</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color w:val="000000"/>
                <w:szCs w:val="21"/>
                <w:lang w:val="en-US" w:eastAsia="zh-CN"/>
              </w:rPr>
              <w:t>20.14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lang w:val="en-US" w:eastAsia="zh-CN"/>
              </w:rPr>
              <w:t>20.14</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hint="eastAsia" w:ascii="宋体" w:hAnsi="宋体" w:eastAsia="宋体" w:cs="宋体"/>
                <w:color w:val="000000"/>
                <w:szCs w:val="21"/>
                <w:lang w:eastAsia="zh-CN"/>
              </w:rPr>
            </w:pPr>
            <w:r>
              <w:rPr>
                <w:rFonts w:hint="eastAsia" w:ascii="宋体" w:hAnsi="宋体" w:cs="宋体"/>
                <w:color w:val="000000"/>
                <w:szCs w:val="21"/>
                <w:lang w:eastAsia="zh-CN"/>
              </w:rPr>
              <w:t>城乡社区支出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20.14</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20.14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20.14</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21208</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hint="eastAsia" w:ascii="宋体" w:hAnsi="宋体" w:eastAsia="宋体" w:cs="宋体"/>
                <w:color w:val="000000"/>
                <w:szCs w:val="21"/>
                <w:lang w:eastAsia="zh-CN"/>
              </w:rPr>
            </w:pPr>
            <w:r>
              <w:rPr>
                <w:rFonts w:hint="eastAsia" w:ascii="宋体" w:hAnsi="宋体" w:cs="宋体"/>
                <w:color w:val="000000"/>
                <w:szCs w:val="21"/>
                <w:lang w:eastAsia="zh-CN"/>
              </w:rPr>
              <w:t>国有土地使用出让收入及对应专项债务收入安排的支出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20.14</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20.14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20.14</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2120803</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hint="eastAsia" w:ascii="宋体" w:hAnsi="宋体" w:eastAsia="宋体" w:cs="宋体"/>
                <w:color w:val="000000"/>
                <w:szCs w:val="21"/>
                <w:lang w:eastAsia="zh-CN"/>
              </w:rPr>
            </w:pPr>
            <w:r>
              <w:rPr>
                <w:rFonts w:hint="eastAsia" w:ascii="宋体" w:hAnsi="宋体" w:cs="宋体"/>
                <w:color w:val="000000"/>
                <w:szCs w:val="21"/>
                <w:lang w:eastAsia="zh-CN"/>
              </w:rPr>
              <w:t>城市建设支出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20.14</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20.14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20.14</w:t>
            </w: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bidi="ar"/>
              </w:rPr>
              <w:t>编制单位：</w:t>
            </w:r>
            <w:r>
              <w:rPr>
                <w:rFonts w:hint="eastAsia" w:ascii="宋体" w:hAnsi="宋体" w:cs="宋体"/>
                <w:color w:val="000000"/>
                <w:kern w:val="0"/>
                <w:sz w:val="22"/>
                <w:szCs w:val="22"/>
                <w:lang w:eastAsia="zh-CN" w:bidi="ar"/>
              </w:rPr>
              <w:t>安平县农林局（</w:t>
            </w:r>
            <w:r>
              <w:rPr>
                <w:rFonts w:hint="eastAsia" w:ascii="宋体" w:hAnsi="宋体" w:cs="宋体"/>
                <w:color w:val="000000"/>
                <w:kern w:val="0"/>
                <w:sz w:val="22"/>
                <w:szCs w:val="22"/>
                <w:lang w:val="en-US" w:eastAsia="zh-CN" w:bidi="ar"/>
              </w:rPr>
              <w:t>本级</w:t>
            </w:r>
            <w:r>
              <w:rPr>
                <w:rFonts w:hint="eastAsia" w:ascii="宋体" w:hAnsi="宋体" w:cs="宋体"/>
                <w:color w:val="000000"/>
                <w:kern w:val="0"/>
                <w:sz w:val="22"/>
                <w:szCs w:val="22"/>
                <w:lang w:eastAsia="zh-CN" w:bidi="ar"/>
              </w:rPr>
              <w:t>）</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rPr>
            </w:pPr>
            <w:r>
              <w:rPr>
                <w:rFonts w:hint="eastAsia"/>
              </w:rPr>
              <w:t>注：本表反映部门本年度国有资本经营预算财政拨款支出情况。</w:t>
            </w:r>
          </w:p>
          <w:p>
            <w:pPr>
              <w:pStyle w:val="2"/>
            </w:pPr>
            <w:r>
              <w:rPr>
                <w:rFonts w:hint="eastAsia" w:ascii="宋体" w:hAnsi="宋体" w:cs="宋体"/>
                <w:color w:val="000000"/>
                <w:kern w:val="0"/>
                <w:sz w:val="22"/>
                <w:szCs w:val="22"/>
                <w:lang w:eastAsia="zh-CN" w:bidi="ar"/>
              </w:rPr>
              <w:t>本部门本年度无相关收支出情况，按要求空表列示</w:t>
            </w:r>
            <w:r>
              <w:rPr>
                <w:rFonts w:hint="eastAsia" w:ascii="宋体" w:hAnsi="宋体" w:cs="宋体"/>
                <w:color w:val="000000"/>
                <w:kern w:val="0"/>
                <w:sz w:val="22"/>
                <w:szCs w:val="22"/>
                <w:lang w:bidi="ar"/>
              </w:rPr>
              <w:t>。</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编制单位：</w:t>
            </w:r>
            <w:r>
              <w:rPr>
                <w:rFonts w:hint="eastAsia" w:ascii="宋体" w:hAnsi="宋体" w:cs="宋体"/>
                <w:color w:val="000000"/>
                <w:kern w:val="0"/>
                <w:szCs w:val="21"/>
                <w:lang w:eastAsia="zh-CN" w:bidi="ar"/>
              </w:rPr>
              <w:t>安平县农林局（</w:t>
            </w:r>
            <w:r>
              <w:rPr>
                <w:rFonts w:hint="eastAsia" w:ascii="宋体" w:hAnsi="宋体" w:cs="宋体"/>
                <w:color w:val="000000"/>
                <w:kern w:val="0"/>
                <w:szCs w:val="21"/>
                <w:lang w:val="en-US" w:eastAsia="zh-CN" w:bidi="ar"/>
              </w:rPr>
              <w:t>本级</w:t>
            </w:r>
            <w:r>
              <w:rPr>
                <w:rFonts w:hint="eastAsia" w:ascii="宋体" w:hAnsi="宋体" w:cs="宋体"/>
                <w:color w:val="000000"/>
                <w:kern w:val="0"/>
                <w:szCs w:val="21"/>
                <w:lang w:eastAsia="zh-CN" w:bidi="ar"/>
              </w:rPr>
              <w:t>）</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1918.52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55"/>
              </w:tabs>
              <w:adjustRightInd w:val="0"/>
              <w:snapToGrid w:val="0"/>
              <w:spacing w:after="0" w:line="240" w:lineRule="auto"/>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 xml:space="preserve">   </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1813.74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4"/>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203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203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hAnsi="Calibri" w:eastAsia="仿宋_GB2312" w:cs="Calibri"/>
          <w:sz w:val="32"/>
          <w:szCs w:val="32"/>
          <w:lang w:val="en-US" w:eastAsia="zh-CN"/>
        </w:rPr>
        <w:t>36746.43</w:t>
      </w:r>
      <w:r>
        <w:rPr>
          <w:rFonts w:hint="eastAsia" w:ascii="仿宋_GB2312" w:eastAsia="仿宋_GB2312" w:cs="DengXian-Regular"/>
          <w:sz w:val="32"/>
          <w:szCs w:val="32"/>
        </w:rPr>
        <w:t>万元。与2017年度决算相比，收支各减少</w:t>
      </w:r>
      <w:r>
        <w:rPr>
          <w:rFonts w:hint="eastAsia" w:ascii="仿宋_GB2312" w:eastAsia="仿宋_GB2312" w:cs="DengXian-Regular"/>
          <w:sz w:val="32"/>
          <w:szCs w:val="32"/>
          <w:lang w:val="en-US" w:eastAsia="zh-CN"/>
        </w:rPr>
        <w:t>542.54</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1.5</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2018年度项目减少</w:t>
      </w:r>
      <w:r>
        <w:rPr>
          <w:rFonts w:hint="eastAsia" w:ascii="仿宋_GB2312" w:eastAsia="仿宋_GB2312" w:cs="DengXian-Regular"/>
          <w:sz w:val="32"/>
          <w:szCs w:val="32"/>
        </w:rPr>
        <w:t>。</w:t>
      </w:r>
    </w:p>
    <w:p>
      <w:pPr>
        <w:pStyle w:val="4"/>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本部门2018年度本年收入合计</w:t>
      </w:r>
      <w:r>
        <w:rPr>
          <w:rFonts w:hint="eastAsia" w:ascii="仿宋_GB2312" w:hAnsi="Calibri" w:eastAsia="仿宋_GB2312" w:cs="Calibri"/>
          <w:sz w:val="32"/>
          <w:szCs w:val="32"/>
        </w:rPr>
        <w:t>24094.07</w:t>
      </w:r>
      <w:r>
        <w:rPr>
          <w:rFonts w:hint="eastAsia" w:ascii="仿宋_GB2312" w:eastAsia="仿宋_GB2312" w:cs="DengXian-Regular"/>
          <w:sz w:val="32"/>
          <w:szCs w:val="32"/>
        </w:rPr>
        <w:t>万元，其中：财政拨款收入</w:t>
      </w:r>
      <w:r>
        <w:rPr>
          <w:rFonts w:hint="eastAsia" w:ascii="仿宋_GB2312" w:hAnsi="Calibri" w:eastAsia="仿宋_GB2312" w:cs="Calibri"/>
          <w:sz w:val="32"/>
          <w:szCs w:val="32"/>
        </w:rPr>
        <w:t>23584.07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97.88</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510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2.12</w:t>
      </w:r>
      <w:r>
        <w:rPr>
          <w:rFonts w:hint="eastAsia" w:ascii="仿宋_GB2312" w:eastAsia="仿宋_GB2312" w:cs="DengXian-Regular"/>
          <w:sz w:val="32"/>
          <w:szCs w:val="32"/>
        </w:rPr>
        <w:t>%。</w:t>
      </w:r>
    </w:p>
    <w:p>
      <w:pPr>
        <w:pStyle w:val="4"/>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本部门2018年度本年支出合计</w:t>
      </w:r>
      <w:r>
        <w:rPr>
          <w:rFonts w:hint="eastAsia" w:ascii="仿宋_GB2312" w:hAnsi="Calibri" w:eastAsia="仿宋_GB2312" w:cs="Calibri"/>
          <w:sz w:val="32"/>
          <w:szCs w:val="32"/>
        </w:rPr>
        <w:t>26810.06</w:t>
      </w:r>
      <w:r>
        <w:rPr>
          <w:rFonts w:hint="eastAsia" w:ascii="仿宋_GB2312" w:eastAsia="仿宋_GB2312" w:cs="DengXian-Regular"/>
          <w:sz w:val="32"/>
          <w:szCs w:val="32"/>
        </w:rPr>
        <w:t>万元，其中：基本支出</w:t>
      </w:r>
      <w:r>
        <w:rPr>
          <w:rFonts w:hint="eastAsia" w:ascii="仿宋_GB2312" w:hAnsi="Calibri" w:eastAsia="仿宋_GB2312" w:cs="Calibri"/>
          <w:sz w:val="32"/>
          <w:szCs w:val="32"/>
        </w:rPr>
        <w:t>1676.09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6.3</w:t>
      </w:r>
      <w:r>
        <w:rPr>
          <w:rFonts w:hint="eastAsia" w:ascii="仿宋_GB2312" w:eastAsia="仿宋_GB2312" w:cs="DengXian-Regular"/>
          <w:sz w:val="32"/>
          <w:szCs w:val="32"/>
        </w:rPr>
        <w:t>%；项目支出</w:t>
      </w:r>
      <w:r>
        <w:rPr>
          <w:rFonts w:hint="eastAsia" w:ascii="仿宋_GB2312" w:hAnsi="Calibri" w:eastAsia="仿宋_GB2312" w:cs="Calibri"/>
          <w:sz w:val="32"/>
          <w:szCs w:val="32"/>
          <w:lang w:val="en-US" w:eastAsia="zh-CN"/>
        </w:rPr>
        <w:t>25133.97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93.7</w:t>
      </w:r>
      <w:r>
        <w:rPr>
          <w:rFonts w:hint="eastAsia" w:ascii="仿宋_GB2312" w:eastAsia="仿宋_GB2312" w:cs="DengXian-Regular"/>
          <w:sz w:val="32"/>
          <w:szCs w:val="32"/>
        </w:rPr>
        <w:t>%</w:t>
      </w:r>
      <w:r>
        <w:rPr>
          <w:sz w:val="44"/>
        </w:rPr>
        <mc:AlternateContent>
          <mc:Choice Requires="wpg">
            <w:drawing>
              <wp:anchor distT="0" distB="0" distL="114300" distR="114300" simplePos="0" relativeHeight="25168486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lang w:eastAsia="zh-CN"/>
        </w:rPr>
        <w:t>。</w:t>
      </w:r>
    </w:p>
    <w:p>
      <w:pPr>
        <w:pStyle w:val="4"/>
        <w:spacing w:before="0" w:after="0" w:line="580" w:lineRule="exact"/>
        <w:ind w:firstLine="640" w:firstLineChars="200"/>
        <w:rPr>
          <w:rFonts w:ascii="黑体" w:eastAsia="黑体"/>
          <w:b w:val="0"/>
          <w:bCs w:val="0"/>
        </w:rPr>
      </w:pPr>
    </w:p>
    <w:p>
      <w:pPr>
        <w:pStyle w:val="4"/>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hAnsi="Calibri" w:eastAsia="仿宋_GB2312" w:cs="Calibri"/>
          <w:sz w:val="32"/>
          <w:szCs w:val="32"/>
        </w:rPr>
        <w:t>23584.07</w:t>
      </w:r>
      <w:r>
        <w:rPr>
          <w:rFonts w:hint="eastAsia" w:ascii="仿宋_GB2312" w:eastAsia="仿宋_GB2312" w:cs="DengXian-Regular"/>
          <w:sz w:val="32"/>
          <w:szCs w:val="32"/>
        </w:rPr>
        <w:t>万元,比2017年度减少</w:t>
      </w:r>
      <w:r>
        <w:rPr>
          <w:rFonts w:hint="eastAsia" w:ascii="仿宋_GB2312" w:eastAsia="仿宋_GB2312" w:cs="DengXian-Regular"/>
          <w:sz w:val="32"/>
          <w:szCs w:val="32"/>
          <w:lang w:val="en-US" w:eastAsia="zh-CN"/>
        </w:rPr>
        <w:t>1011.68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4.1</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2018年度项目减少</w:t>
      </w:r>
      <w:r>
        <w:rPr>
          <w:rFonts w:hint="eastAsia" w:ascii="仿宋_GB2312" w:eastAsia="仿宋_GB2312" w:cs="DengXian-Regular"/>
          <w:sz w:val="32"/>
          <w:szCs w:val="32"/>
        </w:rPr>
        <w:t>；本年支出</w:t>
      </w:r>
      <w:r>
        <w:rPr>
          <w:rFonts w:hint="eastAsia" w:ascii="仿宋_GB2312" w:hAnsi="Calibri" w:eastAsia="仿宋_GB2312" w:cs="Calibri"/>
          <w:sz w:val="32"/>
          <w:szCs w:val="32"/>
        </w:rPr>
        <w:t>26300.06</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2409.34</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10</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项目增加支出增加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hAnsi="Calibri" w:eastAsia="仿宋_GB2312" w:cs="Calibri"/>
          <w:sz w:val="32"/>
          <w:szCs w:val="32"/>
        </w:rPr>
        <w:t>23584.07</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1011.68</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2018年度项目减少</w:t>
      </w:r>
      <w:r>
        <w:rPr>
          <w:rFonts w:hint="eastAsia" w:ascii="仿宋_GB2312" w:eastAsia="仿宋_GB2312" w:cs="DengXian-Regular"/>
          <w:sz w:val="32"/>
          <w:szCs w:val="32"/>
        </w:rPr>
        <w:t>；本年支出</w:t>
      </w:r>
      <w:r>
        <w:rPr>
          <w:rFonts w:hint="eastAsia" w:ascii="仿宋_GB2312" w:hAnsi="Calibri" w:eastAsia="仿宋_GB2312" w:cs="Calibri"/>
          <w:sz w:val="32"/>
          <w:szCs w:val="32"/>
        </w:rPr>
        <w:t>26300.06</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2409.34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项目增加支出增加</w:t>
      </w:r>
      <w:r>
        <w:rPr>
          <w:rFonts w:hint="eastAsia" w:ascii="仿宋_GB2312" w:eastAsia="仿宋_GB2312" w:cs="DengXian-Regular"/>
          <w:sz w:val="32"/>
          <w:szCs w:val="32"/>
        </w:rPr>
        <w:t>。</w:t>
      </w:r>
    </w:p>
    <w:p>
      <w:pPr>
        <w:adjustRightInd w:val="0"/>
        <w:snapToGrid w:val="0"/>
        <w:spacing w:after="0" w:line="580" w:lineRule="exact"/>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hAnsi="Calibri" w:eastAsia="仿宋_GB2312" w:cs="Calibri"/>
          <w:sz w:val="32"/>
          <w:szCs w:val="32"/>
        </w:rPr>
        <w:t>23584.07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503</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18902.03</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项目增加</w:t>
      </w:r>
      <w:r>
        <w:rPr>
          <w:rFonts w:hint="eastAsia" w:ascii="仿宋_GB2312" w:eastAsia="仿宋_GB2312" w:cs="DengXian-Regular"/>
          <w:sz w:val="32"/>
          <w:szCs w:val="32"/>
        </w:rPr>
        <w:t>；本年支出</w:t>
      </w:r>
      <w:r>
        <w:rPr>
          <w:rFonts w:hint="eastAsia" w:ascii="仿宋_GB2312" w:hAnsi="Calibri" w:eastAsia="仿宋_GB2312" w:cs="Calibri"/>
          <w:sz w:val="32"/>
          <w:szCs w:val="32"/>
        </w:rPr>
        <w:t>26300.06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561</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21618.02</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项目增加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highlight w:val="yellow"/>
        </w:rPr>
      </w:pPr>
      <w:r>
        <w:rPr>
          <w:rFonts w:hint="eastAsia" w:ascii="仿宋_GB2312" w:eastAsia="仿宋_GB2312" w:cs="DengXian-Regular"/>
          <w:sz w:val="32"/>
          <w:szCs w:val="32"/>
        </w:rPr>
        <w:t>政府性基金年初预算</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20.14</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项目增加</w:t>
      </w: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20.14</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项目增加</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20.14</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项目增加</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楷体_GB2312" w:eastAsia="楷体_GB2312" w:cs="DengXian-Bold"/>
          <w:b/>
          <w:bCs/>
          <w:sz w:val="32"/>
          <w:szCs w:val="32"/>
        </w:rPr>
      </w:pPr>
      <w:r>
        <w:rPr>
          <w:rFonts w:hint="eastAsia" w:ascii="仿宋_GB2312" w:eastAsia="仿宋_GB2312" w:cs="DengXian-Regular"/>
          <w:sz w:val="32"/>
          <w:szCs w:val="32"/>
        </w:rPr>
        <w:t>2018 年度财政拨款支出</w:t>
      </w:r>
      <w:r>
        <w:rPr>
          <w:rFonts w:hint="eastAsia" w:ascii="仿宋_GB2312" w:hAnsi="Calibri" w:eastAsia="仿宋_GB2312" w:cs="Calibri"/>
          <w:sz w:val="32"/>
          <w:szCs w:val="32"/>
        </w:rPr>
        <w:t>26300.06</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35.58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0.1</w:t>
      </w:r>
      <w:r>
        <w:rPr>
          <w:rFonts w:hint="eastAsia" w:ascii="仿宋_GB2312" w:eastAsia="仿宋_GB2312" w:cs="DengXian-Regular"/>
          <w:sz w:val="32"/>
          <w:szCs w:val="32"/>
        </w:rPr>
        <w:t>%；</w:t>
      </w:r>
      <w:r>
        <w:rPr>
          <w:rFonts w:hint="eastAsia" w:ascii="仿宋_GB2312" w:eastAsia="仿宋_GB2312" w:cs="DengXian-Regular"/>
          <w:sz w:val="32"/>
          <w:szCs w:val="32"/>
          <w:lang w:eastAsia="zh-CN"/>
        </w:rPr>
        <w:t>节能环保类支出</w:t>
      </w:r>
      <w:r>
        <w:rPr>
          <w:rFonts w:hint="eastAsia" w:ascii="仿宋_GB2312" w:eastAsia="仿宋_GB2312" w:cs="DengXian-Regular"/>
          <w:sz w:val="32"/>
          <w:szCs w:val="32"/>
          <w:lang w:val="en-US" w:eastAsia="zh-CN"/>
        </w:rPr>
        <w:t>36.78万元</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0.1</w:t>
      </w:r>
      <w:r>
        <w:rPr>
          <w:rFonts w:hint="eastAsia" w:ascii="仿宋_GB2312" w:eastAsia="仿宋_GB2312" w:cs="DengXian-Regular"/>
          <w:sz w:val="32"/>
          <w:szCs w:val="32"/>
        </w:rPr>
        <w:t>%；</w:t>
      </w:r>
      <w:r>
        <w:rPr>
          <w:rFonts w:hint="eastAsia" w:ascii="仿宋_GB2312" w:eastAsia="仿宋_GB2312" w:cs="DengXian-Regular"/>
          <w:sz w:val="32"/>
          <w:szCs w:val="32"/>
          <w:lang w:eastAsia="zh-CN"/>
        </w:rPr>
        <w:t>城乡社区支出</w:t>
      </w:r>
      <w:r>
        <w:rPr>
          <w:rFonts w:hint="eastAsia" w:ascii="仿宋_GB2312" w:eastAsia="仿宋_GB2312" w:cs="DengXian-Regular"/>
          <w:sz w:val="32"/>
          <w:szCs w:val="32"/>
          <w:lang w:val="en-US" w:eastAsia="zh-CN"/>
        </w:rPr>
        <w:t>20.14万元，</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0.07</w:t>
      </w:r>
      <w:r>
        <w:rPr>
          <w:rFonts w:hint="eastAsia" w:ascii="仿宋_GB2312" w:eastAsia="仿宋_GB2312" w:cs="DengXian-Regular"/>
          <w:sz w:val="32"/>
          <w:szCs w:val="32"/>
        </w:rPr>
        <w:t>%；</w:t>
      </w:r>
      <w:r>
        <w:rPr>
          <w:rFonts w:hint="eastAsia" w:ascii="仿宋_GB2312" w:eastAsia="仿宋_GB2312" w:cs="DengXian-Regular"/>
          <w:sz w:val="32"/>
          <w:szCs w:val="32"/>
          <w:lang w:eastAsia="zh-CN"/>
        </w:rPr>
        <w:t>农林水支出</w:t>
      </w:r>
      <w:r>
        <w:rPr>
          <w:rFonts w:hint="eastAsia" w:ascii="仿宋_GB2312" w:eastAsia="仿宋_GB2312" w:cs="DengXian-Regular"/>
          <w:sz w:val="32"/>
          <w:szCs w:val="32"/>
          <w:lang w:val="en-US" w:eastAsia="zh-CN"/>
        </w:rPr>
        <w:t>25564.06万元，</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97.33</w:t>
      </w:r>
      <w:r>
        <w:rPr>
          <w:rFonts w:hint="eastAsia" w:ascii="仿宋_GB2312" w:eastAsia="仿宋_GB2312" w:cs="DengXian-Regular"/>
          <w:sz w:val="32"/>
          <w:szCs w:val="32"/>
        </w:rPr>
        <w:t>%；</w:t>
      </w:r>
      <w:r>
        <w:rPr>
          <w:rFonts w:hint="eastAsia" w:ascii="仿宋_GB2312" w:eastAsia="仿宋_GB2312" w:cs="DengXian-Regular"/>
          <w:sz w:val="32"/>
          <w:szCs w:val="32"/>
          <w:lang w:eastAsia="zh-CN"/>
        </w:rPr>
        <w:t>商业服务业支出</w:t>
      </w:r>
      <w:r>
        <w:rPr>
          <w:rFonts w:hint="eastAsia" w:ascii="仿宋_GB2312" w:eastAsia="仿宋_GB2312" w:cs="DengXian-Regular"/>
          <w:sz w:val="32"/>
          <w:szCs w:val="32"/>
          <w:lang w:val="en-US" w:eastAsia="zh-CN"/>
        </w:rPr>
        <w:t>643.5万元，</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2.4</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588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1676.09</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1565.50</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110.59</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4"/>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0.12</w:t>
      </w:r>
      <w:r>
        <w:rPr>
          <w:rFonts w:hint="eastAsia" w:ascii="仿宋_GB2312" w:eastAsia="仿宋_GB2312" w:cs="DengXian-Regular"/>
          <w:sz w:val="32"/>
          <w:szCs w:val="32"/>
        </w:rPr>
        <w:t>万元，</w:t>
      </w:r>
      <w:r>
        <w:rPr>
          <w:rFonts w:hint="eastAsia" w:ascii="仿宋_GB2312" w:eastAsia="仿宋_GB2312" w:cs="DengXian-Regular"/>
          <w:b w:val="0"/>
          <w:bCs w:val="0"/>
          <w:sz w:val="32"/>
          <w:szCs w:val="32"/>
        </w:rPr>
        <w:t>较年初预算减少</w:t>
      </w:r>
      <w:r>
        <w:rPr>
          <w:rFonts w:hint="eastAsia" w:ascii="仿宋_GB2312" w:eastAsia="仿宋_GB2312" w:cs="DengXian-Regular"/>
          <w:b w:val="0"/>
          <w:bCs w:val="0"/>
          <w:sz w:val="32"/>
          <w:szCs w:val="32"/>
          <w:lang w:val="en-US" w:eastAsia="zh-CN"/>
        </w:rPr>
        <w:t>6.88</w:t>
      </w:r>
      <w:r>
        <w:rPr>
          <w:rFonts w:hint="eastAsia" w:ascii="仿宋_GB2312" w:eastAsia="仿宋_GB2312" w:cs="DengXian-Regular"/>
          <w:b w:val="0"/>
          <w:bCs w:val="0"/>
          <w:sz w:val="32"/>
          <w:szCs w:val="32"/>
        </w:rPr>
        <w:t>万元，降低</w:t>
      </w:r>
      <w:r>
        <w:rPr>
          <w:rFonts w:hint="eastAsia" w:ascii="仿宋_GB2312" w:eastAsia="仿宋_GB2312" w:cs="DengXian-Regular"/>
          <w:b w:val="0"/>
          <w:bCs w:val="0"/>
          <w:sz w:val="32"/>
          <w:szCs w:val="32"/>
          <w:lang w:val="en-US" w:eastAsia="zh-CN"/>
        </w:rPr>
        <w:t>98.2</w:t>
      </w:r>
      <w:r>
        <w:rPr>
          <w:rFonts w:hint="eastAsia" w:ascii="仿宋_GB2312" w:eastAsia="仿宋_GB2312" w:cs="DengXian-Regular"/>
          <w:b w:val="0"/>
          <w:bCs w:val="0"/>
          <w:sz w:val="32"/>
          <w:szCs w:val="32"/>
        </w:rPr>
        <w:t>%，</w:t>
      </w:r>
      <w:r>
        <w:rPr>
          <w:rFonts w:hint="eastAsia" w:ascii="仿宋_GB2312" w:eastAsia="仿宋_GB2312" w:cs="DengXian-Regular"/>
          <w:b w:val="0"/>
          <w:bCs w:val="0"/>
          <w:sz w:val="32"/>
          <w:szCs w:val="32"/>
          <w:lang w:val="en-US" w:eastAsia="zh-CN"/>
        </w:rPr>
        <w:t>较上年减少5.02万元，降低97.66%，</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hint="eastAsia" w:ascii="仿宋_GB2312" w:eastAsia="仿宋_GB2312" w:cs="DengXian-Regular"/>
          <w:sz w:val="32"/>
          <w:szCs w:val="32"/>
          <w:lang w:val="en-US" w:eastAsia="zh-CN"/>
        </w:rPr>
        <w:t>参加</w:t>
      </w:r>
      <w:r>
        <w:rPr>
          <w:rFonts w:hint="eastAsia" w:ascii="仿宋_GB2312" w:eastAsia="仿宋_GB2312" w:cs="DengXian-Regular"/>
          <w:sz w:val="32"/>
          <w:szCs w:val="32"/>
        </w:rPr>
        <w:t>本单位组织的出国（境）团组。因公出国（境）费支出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持平，与上</w:t>
      </w:r>
      <w:r>
        <w:rPr>
          <w:rFonts w:hint="eastAsia" w:ascii="仿宋_GB2312" w:eastAsia="仿宋_GB2312" w:cs="DengXian-Regular"/>
          <w:sz w:val="32"/>
          <w:szCs w:val="32"/>
          <w:lang w:val="en-US" w:eastAsia="zh-CN"/>
        </w:rPr>
        <w:t>年支出持平。</w:t>
      </w:r>
    </w:p>
    <w:p>
      <w:pPr>
        <w:numPr>
          <w:ilvl w:val="0"/>
          <w:numId w:val="2"/>
        </w:num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公务用车购置及运行维护费支出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较上年减少4.67万元，降低100%，</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无公务用车</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仿宋_GB2312" w:eastAsia="仿宋_GB2312" w:cs="DengXian-Regular"/>
          <w:b/>
          <w:sz w:val="32"/>
          <w:szCs w:val="32"/>
        </w:rPr>
        <w:t>公务用车购置费</w:t>
      </w:r>
      <w:r>
        <w:rPr>
          <w:rFonts w:hint="eastAsia" w:ascii="仿宋_GB2312" w:eastAsia="仿宋_GB2312" w:cs="DengXian-Regular"/>
          <w:b/>
          <w:sz w:val="32"/>
          <w:szCs w:val="32"/>
          <w:lang w:eastAsia="zh-CN"/>
        </w:rPr>
        <w:t>：</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本部门无公车，与</w:t>
      </w:r>
      <w:r>
        <w:rPr>
          <w:rFonts w:hint="eastAsia" w:ascii="仿宋_GB2312" w:eastAsia="仿宋_GB2312" w:cs="DengXian-Regular"/>
          <w:sz w:val="32"/>
          <w:szCs w:val="32"/>
          <w:lang w:val="en-US" w:eastAsia="zh-CN"/>
        </w:rPr>
        <w:t>2017年决算支出持平。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较上年减少4.67万元，降低100%，</w:t>
      </w:r>
      <w:r>
        <w:rPr>
          <w:rFonts w:hint="eastAsia" w:ascii="仿宋_GB2312"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0.12</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12</w:t>
      </w:r>
      <w:r>
        <w:rPr>
          <w:rFonts w:hint="eastAsia" w:ascii="仿宋_GB2312" w:eastAsia="仿宋_GB2312" w:cs="DengXian-Regular"/>
          <w:sz w:val="32"/>
          <w:szCs w:val="32"/>
        </w:rPr>
        <w:t>人次。公务接待费支出较年初预算减少</w:t>
      </w:r>
      <w:r>
        <w:rPr>
          <w:rFonts w:hint="eastAsia" w:ascii="仿宋_GB2312" w:eastAsia="仿宋_GB2312" w:cs="DengXian-Regular"/>
          <w:sz w:val="32"/>
          <w:szCs w:val="32"/>
          <w:lang w:val="en-US" w:eastAsia="zh-CN"/>
        </w:rPr>
        <w:t>0.88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88</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较上年减少0.46万元，降低100%，</w:t>
      </w:r>
      <w:bookmarkStart w:id="0" w:name="_GoBack"/>
      <w:bookmarkEnd w:id="0"/>
      <w:r>
        <w:rPr>
          <w:rFonts w:hint="eastAsia" w:ascii="仿宋_GB2312"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ind w:firstLine="640" w:firstLineChars="200"/>
        <w:rPr>
          <w:rFonts w:hint="eastAsia" w:ascii="仿宋" w:hAnsi="仿宋" w:eastAsia="仿宋"/>
          <w:sz w:val="32"/>
          <w:szCs w:val="32"/>
        </w:rPr>
      </w:pPr>
      <w:r>
        <w:rPr>
          <w:rFonts w:hint="eastAsia" w:ascii="仿宋" w:hAnsi="仿宋" w:eastAsia="仿宋"/>
          <w:sz w:val="32"/>
          <w:szCs w:val="32"/>
        </w:rPr>
        <w:t>根据财政预算绩效管理要求，省财政厅部门以“部门职责</w:t>
      </w:r>
      <w:r>
        <w:rPr>
          <w:rFonts w:ascii="仿宋" w:hAnsi="仿宋" w:eastAsia="仿宋"/>
          <w:sz w:val="32"/>
          <w:szCs w:val="32"/>
        </w:rPr>
        <w:t xml:space="preserve"> 24</w:t>
      </w:r>
      <w:r>
        <w:rPr>
          <w:rFonts w:hint="eastAsia" w:ascii="仿宋" w:hAnsi="仿宋" w:eastAsia="仿宋"/>
          <w:sz w:val="32"/>
          <w:szCs w:val="32"/>
        </w:rPr>
        <w:t>—工作活动”为依据，确定部门预算项目和预算额度，清晰描述预算项目开支范围和内容，确定预算项目的绩效目标、绩效指标和评价标准，为预算绩效控制、绩效分析、绩效评价打下好的基础。</w:t>
      </w:r>
    </w:p>
    <w:p>
      <w:pPr>
        <w:numPr>
          <w:ilvl w:val="0"/>
          <w:numId w:val="3"/>
        </w:numPr>
        <w:ind w:firstLine="640" w:firstLineChars="200"/>
        <w:rPr>
          <w:rFonts w:ascii="仿宋_GB2312" w:eastAsia="仿宋_GB2312" w:cs="DengXian-Regular"/>
          <w:sz w:val="32"/>
          <w:szCs w:val="32"/>
        </w:rPr>
      </w:pPr>
      <w:r>
        <w:rPr>
          <w:rFonts w:hint="eastAsia" w:ascii="仿宋_GB2312" w:eastAsia="仿宋_GB2312" w:cs="DengXian-Regular"/>
          <w:sz w:val="32"/>
          <w:szCs w:val="32"/>
        </w:rPr>
        <w:t>项目绩效自评结果。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200" w:right="0" w:rightChars="0" w:firstLine="640" w:firstLineChars="200"/>
        <w:jc w:val="both"/>
        <w:textAlignment w:val="auto"/>
        <w:outlineLvl w:val="9"/>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2018年度农林局整体支出资金绩效评价总体良好，主要体现在：预算编制及时，预算信息公开符合要求，预算执行进度良好；财务制度健全，会计核算总体规范、准确；资金使用规范，无乱发津补贴、奖金现象；项目在实施过程中严格执行有关制度规定，基本达到预期效果。全部项目：经过自评，40个专项资金项目中综合绩效自评为优的37个，评优率92%。自评为良的3个，评优率8%。</w:t>
      </w:r>
    </w:p>
    <w:p>
      <w:pPr>
        <w:numPr>
          <w:ilvl w:val="0"/>
          <w:numId w:val="0"/>
        </w:numPr>
        <w:ind w:firstLine="640" w:firstLineChars="200"/>
        <w:rPr>
          <w:rFonts w:ascii="仿宋_GB2312" w:eastAsia="仿宋_GB2312" w:cs="DengXian-Regular"/>
          <w:sz w:val="32"/>
          <w:szCs w:val="32"/>
        </w:rPr>
      </w:pPr>
      <w:r>
        <w:rPr>
          <w:rFonts w:ascii="Times New Roman" w:hAnsi="Times New Roman"/>
          <w:color w:val="000000"/>
          <w:sz w:val="32"/>
          <w:szCs w:val="32"/>
          <w:shd w:val="clear" w:color="auto" w:fill="FFFFFF"/>
        </w:rPr>
        <w:t>201</w:t>
      </w:r>
      <w:r>
        <w:rPr>
          <w:rFonts w:hint="eastAsia"/>
          <w:color w:val="000000"/>
          <w:sz w:val="32"/>
          <w:szCs w:val="32"/>
          <w:shd w:val="clear" w:color="auto" w:fill="FFFFFF"/>
          <w:lang w:val="en-US" w:eastAsia="zh-CN"/>
        </w:rPr>
        <w:t>8</w:t>
      </w:r>
      <w:r>
        <w:rPr>
          <w:rFonts w:hint="eastAsia" w:ascii="仿宋_GB2312" w:eastAsia="仿宋_GB2312"/>
          <w:color w:val="000000"/>
          <w:sz w:val="32"/>
          <w:szCs w:val="32"/>
          <w:shd w:val="clear" w:color="auto" w:fill="FFFFFF"/>
        </w:rPr>
        <w:t>年度季节性休耕项目，</w:t>
      </w:r>
      <w:r>
        <w:rPr>
          <w:rFonts w:hint="eastAsia" w:ascii="仿宋" w:hAnsi="仿宋" w:eastAsia="仿宋"/>
          <w:color w:val="000000"/>
          <w:sz w:val="32"/>
          <w:szCs w:val="32"/>
          <w:shd w:val="clear" w:color="auto" w:fill="FFFFFF"/>
        </w:rPr>
        <w:t>全面贯彻国家农业可持续发展和藏粮于地、藏粮于技战略，认真落实省委、省政府有关生态修复决策部署，牢固树立新发展理念，以绿色发展为导向，以改革创新为动力，坚持生态优先、综合治理，突出重点区域，加大政策扶持，充实试点内容，完善试点功能，提升试点水平，加快构建耕地季节性休耕制度，促进农业转型升级和可持续发展。</w:t>
      </w:r>
      <w:r>
        <w:rPr>
          <w:rFonts w:hint="eastAsia" w:ascii="仿宋" w:hAnsi="仿宋" w:eastAsia="仿宋"/>
          <w:sz w:val="32"/>
          <w:szCs w:val="32"/>
        </w:rPr>
        <w:t>按照财政部要求和项目实施目的，</w:t>
      </w:r>
      <w:r>
        <w:rPr>
          <w:rFonts w:hint="eastAsia" w:ascii="仿宋_GB2312" w:eastAsia="仿宋_GB2312"/>
          <w:color w:val="000000"/>
          <w:sz w:val="32"/>
          <w:szCs w:val="32"/>
          <w:shd w:val="clear" w:color="auto" w:fill="FFFFFF"/>
        </w:rPr>
        <w:t>资金拨付手续完整。标准分值</w:t>
      </w:r>
      <w:r>
        <w:rPr>
          <w:rFonts w:ascii="Times New Roman" w:hAnsi="Times New Roman"/>
          <w:color w:val="000000"/>
          <w:sz w:val="32"/>
          <w:szCs w:val="32"/>
          <w:shd w:val="clear" w:color="auto" w:fill="FFFFFF"/>
        </w:rPr>
        <w:t>5</w:t>
      </w:r>
      <w:r>
        <w:rPr>
          <w:rFonts w:hint="eastAsia" w:ascii="仿宋_GB2312" w:eastAsia="仿宋_GB2312"/>
          <w:color w:val="000000"/>
          <w:sz w:val="32"/>
          <w:szCs w:val="32"/>
          <w:shd w:val="clear" w:color="auto" w:fill="FFFFFF"/>
        </w:rPr>
        <w:t>分，</w:t>
      </w:r>
      <w:r>
        <w:rPr>
          <w:rFonts w:hint="eastAsia" w:ascii="仿宋" w:hAnsi="仿宋" w:eastAsia="仿宋"/>
          <w:bCs/>
          <w:color w:val="000000"/>
          <w:sz w:val="32"/>
          <w:szCs w:val="32"/>
          <w:shd w:val="clear" w:color="auto" w:fill="FFFFFF"/>
        </w:rPr>
        <w:t>项目完成率</w:t>
      </w:r>
      <w:r>
        <w:rPr>
          <w:rFonts w:hint="eastAsia" w:ascii="仿宋_GB2312" w:eastAsia="仿宋_GB2312"/>
          <w:color w:val="000000"/>
          <w:sz w:val="32"/>
          <w:szCs w:val="32"/>
          <w:shd w:val="clear" w:color="auto" w:fill="FFFFFF"/>
        </w:rPr>
        <w:t>标准分值</w:t>
      </w:r>
      <w:r>
        <w:rPr>
          <w:rFonts w:ascii="Times New Roman" w:hAnsi="Times New Roman"/>
          <w:color w:val="000000"/>
          <w:sz w:val="32"/>
          <w:szCs w:val="32"/>
          <w:shd w:val="clear" w:color="auto" w:fill="FFFFFF"/>
        </w:rPr>
        <w:t>5</w:t>
      </w:r>
      <w:r>
        <w:rPr>
          <w:rFonts w:hint="eastAsia" w:ascii="仿宋_GB2312" w:eastAsia="仿宋_GB2312"/>
          <w:color w:val="000000"/>
          <w:sz w:val="32"/>
          <w:szCs w:val="32"/>
          <w:shd w:val="clear" w:color="auto" w:fill="FFFFFF"/>
        </w:rPr>
        <w:t>分，管理制度健全，标准分值</w:t>
      </w:r>
      <w:r>
        <w:rPr>
          <w:rFonts w:ascii="Times New Roman" w:hAnsi="Times New Roman"/>
          <w:color w:val="000000"/>
          <w:sz w:val="32"/>
          <w:szCs w:val="32"/>
          <w:shd w:val="clear" w:color="auto" w:fill="FFFFFF"/>
        </w:rPr>
        <w:t>6</w:t>
      </w:r>
      <w:r>
        <w:rPr>
          <w:rFonts w:hint="eastAsia" w:ascii="仿宋_GB2312" w:eastAsia="仿宋_GB2312"/>
          <w:color w:val="000000"/>
          <w:sz w:val="32"/>
          <w:szCs w:val="32"/>
          <w:shd w:val="clear" w:color="auto" w:fill="FFFFFF"/>
        </w:rPr>
        <w:t>分，随机调查承担项目的农户，满意度为</w:t>
      </w:r>
      <w:r>
        <w:rPr>
          <w:rFonts w:ascii="Times New Roman" w:hAnsi="Times New Roman"/>
          <w:color w:val="000000"/>
          <w:sz w:val="32"/>
          <w:szCs w:val="32"/>
          <w:shd w:val="clear" w:color="auto" w:fill="FFFFFF"/>
        </w:rPr>
        <w:t>100%</w:t>
      </w:r>
      <w:r>
        <w:rPr>
          <w:rFonts w:hint="eastAsia" w:ascii="仿宋_GB2312" w:eastAsia="仿宋_GB2312"/>
          <w:color w:val="000000"/>
          <w:sz w:val="32"/>
          <w:szCs w:val="32"/>
          <w:shd w:val="clear" w:color="auto" w:fill="FFFFFF"/>
        </w:rPr>
        <w:t>。</w:t>
      </w:r>
      <w:r>
        <w:rPr>
          <w:rFonts w:ascii="Times New Roman" w:hAnsi="Times New Roman"/>
          <w:color w:val="000000"/>
          <w:sz w:val="32"/>
          <w:szCs w:val="32"/>
          <w:shd w:val="clear" w:color="auto" w:fill="FFFFFF"/>
        </w:rPr>
        <w:t>201</w:t>
      </w:r>
      <w:r>
        <w:rPr>
          <w:rFonts w:hint="eastAsia"/>
          <w:color w:val="000000"/>
          <w:sz w:val="32"/>
          <w:szCs w:val="32"/>
          <w:shd w:val="clear" w:color="auto" w:fill="FFFFFF"/>
          <w:lang w:val="en-US" w:eastAsia="zh-CN"/>
        </w:rPr>
        <w:t>8</w:t>
      </w:r>
      <w:r>
        <w:rPr>
          <w:rFonts w:hint="eastAsia" w:ascii="仿宋_GB2312" w:eastAsia="仿宋_GB2312"/>
          <w:color w:val="000000"/>
          <w:sz w:val="32"/>
          <w:szCs w:val="32"/>
          <w:shd w:val="clear" w:color="auto" w:fill="FFFFFF"/>
        </w:rPr>
        <w:t>年度季节性休耕项目绩效评价实际得分</w:t>
      </w:r>
      <w:r>
        <w:rPr>
          <w:rFonts w:ascii="Times New Roman" w:hAnsi="Times New Roman"/>
          <w:color w:val="000000"/>
          <w:sz w:val="32"/>
          <w:szCs w:val="32"/>
          <w:shd w:val="clear" w:color="auto" w:fill="FFFFFF"/>
        </w:rPr>
        <w:t>9</w:t>
      </w:r>
      <w:r>
        <w:rPr>
          <w:rFonts w:hint="eastAsia"/>
          <w:color w:val="000000"/>
          <w:sz w:val="32"/>
          <w:szCs w:val="32"/>
          <w:shd w:val="clear" w:color="auto" w:fill="FFFFFF"/>
          <w:lang w:val="en-US" w:eastAsia="zh-CN"/>
        </w:rPr>
        <w:t>5</w:t>
      </w:r>
      <w:r>
        <w:rPr>
          <w:rFonts w:ascii="Times New Roman" w:hAnsi="Times New Roman"/>
          <w:color w:val="000000"/>
          <w:sz w:val="32"/>
          <w:szCs w:val="32"/>
          <w:shd w:val="clear" w:color="auto" w:fill="FFFFFF"/>
        </w:rPr>
        <w:t>.82</w:t>
      </w:r>
      <w:r>
        <w:rPr>
          <w:rFonts w:hint="eastAsia" w:ascii="仿宋_GB2312" w:eastAsia="仿宋_GB2312"/>
          <w:color w:val="000000"/>
          <w:sz w:val="32"/>
          <w:szCs w:val="32"/>
          <w:shd w:val="clear" w:color="auto" w:fill="FFFFFF"/>
        </w:rPr>
        <w:t>分，评价等级为</w:t>
      </w:r>
      <w:r>
        <w:rPr>
          <w:rFonts w:ascii="Times New Roman" w:hAnsi="Times New Roman"/>
          <w:color w:val="000000"/>
          <w:sz w:val="32"/>
          <w:szCs w:val="32"/>
          <w:shd w:val="clear" w:color="auto" w:fill="FFFFFF"/>
        </w:rPr>
        <w:t>“</w:t>
      </w:r>
      <w:r>
        <w:rPr>
          <w:rFonts w:hint="eastAsia" w:ascii="仿宋_GB2312" w:eastAsia="仿宋_GB2312"/>
          <w:color w:val="000000"/>
          <w:sz w:val="32"/>
          <w:szCs w:val="32"/>
          <w:shd w:val="clear" w:color="auto" w:fill="FFFFFF"/>
        </w:rPr>
        <w:t>优秀</w:t>
      </w:r>
      <w:r>
        <w:rPr>
          <w:rFonts w:ascii="Times New Roman" w:hAnsi="Times New Roman"/>
          <w:color w:val="000000"/>
          <w:sz w:val="32"/>
          <w:szCs w:val="32"/>
          <w:shd w:val="clear" w:color="auto" w:fill="FFFFFF"/>
        </w:rPr>
        <w:t>”</w:t>
      </w:r>
      <w:r>
        <w:rPr>
          <w:rFonts w:hint="eastAsia" w:ascii="仿宋_GB2312" w:eastAsia="仿宋_GB2312"/>
          <w:color w:val="000000"/>
          <w:sz w:val="32"/>
          <w:szCs w:val="32"/>
          <w:shd w:val="clear" w:color="auto" w:fill="FFFFFF"/>
        </w:rPr>
        <w:t>。</w:t>
      </w:r>
    </w:p>
    <w:p>
      <w:pPr>
        <w:pStyle w:val="4"/>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5"/>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110.59</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32.8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29.66</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项目增加。</w:t>
      </w:r>
    </w:p>
    <w:p>
      <w:pPr>
        <w:pStyle w:val="5"/>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val="en-US"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1813.74</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1495.19</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318.55</w:t>
      </w:r>
      <w:r>
        <w:rPr>
          <w:rFonts w:ascii="仿宋_GB2312" w:hAnsi="仿宋_GB2312" w:eastAsia="仿宋_GB2312" w:cs="仿宋_GB2312"/>
          <w:color w:val="000000"/>
          <w:kern w:val="0"/>
          <w:sz w:val="32"/>
          <w:szCs w:val="32"/>
          <w:lang w:bidi="ar"/>
        </w:rPr>
        <w:t>万元。</w:t>
      </w:r>
      <w:r>
        <w:rPr>
          <w:rFonts w:hint="eastAsia" w:ascii="仿宋_GB2312" w:hAnsi="仿宋_GB2312" w:eastAsia="仿宋_GB2312" w:cs="仿宋_GB2312"/>
          <w:color w:val="000000"/>
          <w:kern w:val="0"/>
          <w:sz w:val="32"/>
          <w:szCs w:val="32"/>
          <w:lang w:eastAsia="zh-CN" w:bidi="ar"/>
        </w:rPr>
        <w:t>比上年度减少</w:t>
      </w:r>
      <w:r>
        <w:rPr>
          <w:rFonts w:hint="eastAsia" w:ascii="仿宋_GB2312" w:hAnsi="仿宋_GB2312" w:eastAsia="仿宋_GB2312" w:cs="仿宋_GB2312"/>
          <w:color w:val="000000"/>
          <w:kern w:val="0"/>
          <w:sz w:val="32"/>
          <w:szCs w:val="32"/>
          <w:lang w:val="en-US" w:eastAsia="zh-CN" w:bidi="ar"/>
        </w:rPr>
        <w:t>19916.35万元，原因是本年度项目减少。</w:t>
      </w:r>
    </w:p>
    <w:p>
      <w:pPr>
        <w:pStyle w:val="5"/>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与上年持平</w:t>
      </w:r>
      <w:r>
        <w:rPr>
          <w:rFonts w:hint="eastAsia" w:ascii="仿宋_GB2312" w:eastAsia="仿宋_GB2312" w:cs="DengXian-Regular"/>
          <w:sz w:val="32"/>
          <w:szCs w:val="32"/>
        </w:rPr>
        <w:t>。其中，执法执勤用车</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离退休干部用车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其他用车</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rPr>
        <w:t>辆，其他用车主要是</w:t>
      </w:r>
      <w:r>
        <w:rPr>
          <w:rFonts w:hint="eastAsia" w:ascii="仿宋_GB2312" w:hAnsi="Times New Roman" w:eastAsia="仿宋_GB2312" w:cs="DengXian-Regular"/>
          <w:sz w:val="32"/>
          <w:szCs w:val="32"/>
          <w:lang w:val="en-US" w:eastAsia="zh-CN"/>
        </w:rPr>
        <w:t>垃圾车；</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较上年相比无变化。</w:t>
      </w:r>
    </w:p>
    <w:p>
      <w:pPr>
        <w:pStyle w:val="5"/>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w:t>
      </w:r>
      <w:r>
        <w:rPr>
          <w:rFonts w:hint="eastAsia" w:ascii="仿宋_GB2312" w:eastAsia="仿宋_GB2312" w:cs="DengXian-Regular"/>
          <w:sz w:val="32"/>
          <w:szCs w:val="32"/>
          <w:lang w:val="en-US" w:eastAsia="zh-CN"/>
        </w:rPr>
        <w:t>国有资本经营</w:t>
      </w:r>
      <w:r>
        <w:rPr>
          <w:rFonts w:hint="eastAsia" w:ascii="仿宋_GB2312" w:eastAsia="仿宋_GB2312" w:cs="DengXian-Regular"/>
          <w:sz w:val="32"/>
          <w:szCs w:val="32"/>
        </w:rPr>
        <w:t>收支及结转结余情况，故</w:t>
      </w:r>
      <w:r>
        <w:rPr>
          <w:rFonts w:hint="eastAsia" w:ascii="仿宋_GB2312" w:eastAsia="仿宋_GB2312" w:cs="DengXian-Regular"/>
          <w:sz w:val="32"/>
          <w:szCs w:val="32"/>
          <w:lang w:val="en-US" w:eastAsia="zh-CN"/>
        </w:rPr>
        <w:t>09</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ind w:firstLine="640" w:firstLineChars="200"/>
        <w:rPr>
          <w:rFonts w:ascii="仿宋_GB2312" w:eastAsia="仿宋_GB2312" w:cs="MS-UIGothic,Bold" w:hAnsiTheme="majorEastAsia"/>
          <w:bCs/>
          <w:sz w:val="32"/>
          <w:szCs w:val="32"/>
        </w:r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6"/>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D52E6D9-247C-44EA-8D59-BE2AAA3A201F}"/>
  </w:font>
  <w:font w:name="黑体">
    <w:panose1 w:val="02010609060101010101"/>
    <w:charset w:val="86"/>
    <w:family w:val="auto"/>
    <w:pitch w:val="default"/>
    <w:sig w:usb0="800002BF" w:usb1="38CF7CFA" w:usb2="00000016" w:usb3="00000000" w:csb0="00040001" w:csb1="00000000"/>
    <w:embedRegular r:id="rId2" w:fontKey="{6702BD97-E0A1-4EDA-A3EA-623B4CA91F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3A29564-FB10-4D95-8EE0-2ED381C13C62}"/>
  </w:font>
  <w:font w:name="仿宋_GB2312">
    <w:panose1 w:val="02010609030101010101"/>
    <w:charset w:val="86"/>
    <w:family w:val="modern"/>
    <w:pitch w:val="default"/>
    <w:sig w:usb0="00000000" w:usb1="00000000" w:usb2="00000000" w:usb3="00000000" w:csb0="00000000" w:csb1="00000000"/>
    <w:embedRegular r:id="rId4" w:fontKey="{F9346EA6-59A8-439C-AD3A-07C0903924D8}"/>
  </w:font>
  <w:font w:name="Cambria">
    <w:panose1 w:val="02040503050406030204"/>
    <w:charset w:val="00"/>
    <w:family w:val="roman"/>
    <w:pitch w:val="default"/>
    <w:sig w:usb0="E00006FF" w:usb1="420024FF" w:usb2="02000000" w:usb3="00000000" w:csb0="2000019F" w:csb1="00000000"/>
    <w:embedRegular r:id="rId5" w:fontKey="{D9D08BAB-E04F-4227-B184-59984D9008C3}"/>
  </w:font>
  <w:font w:name="楷体">
    <w:panose1 w:val="02010609060101010101"/>
    <w:charset w:val="86"/>
    <w:family w:val="modern"/>
    <w:pitch w:val="default"/>
    <w:sig w:usb0="800002BF" w:usb1="38CF7CFA" w:usb2="00000016" w:usb3="00000000" w:csb0="00040001" w:csb1="00000000"/>
    <w:embedRegular r:id="rId6" w:fontKey="{6B11E9FA-E2EE-4DBE-BE84-10CF71AC89DC}"/>
  </w:font>
  <w:font w:name="ArialUnicodeMS">
    <w:altName w:val="Malgun Gothic"/>
    <w:panose1 w:val="00000000000000000000"/>
    <w:charset w:val="81"/>
    <w:family w:val="auto"/>
    <w:pitch w:val="default"/>
    <w:sig w:usb0="00000000" w:usb1="00000000" w:usb2="00000010" w:usb3="00000000" w:csb0="00080001" w:csb1="00000000"/>
    <w:embedRegular r:id="rId7" w:fontKey="{B9F95A36-A3D6-4DFE-BD3D-E02B983EE3B8}"/>
  </w:font>
  <w:font w:name="仿宋">
    <w:panose1 w:val="02010609060101010101"/>
    <w:charset w:val="86"/>
    <w:family w:val="modern"/>
    <w:pitch w:val="default"/>
    <w:sig w:usb0="800002BF" w:usb1="38CF7CFA" w:usb2="00000016" w:usb3="00000000" w:csb0="00040001" w:csb1="00000000"/>
    <w:embedRegular r:id="rId8" w:fontKey="{9743C75C-02B3-47ED-8758-37D5B14B74A2}"/>
  </w:font>
  <w:font w:name="MS-UIGothic,Bold">
    <w:altName w:val="Malgun Gothic"/>
    <w:panose1 w:val="00000000000000000000"/>
    <w:charset w:val="81"/>
    <w:family w:val="auto"/>
    <w:pitch w:val="default"/>
    <w:sig w:usb0="00000000" w:usb1="00000000" w:usb2="00000010" w:usb3="00000000" w:csb0="00080000" w:csb1="00000000"/>
    <w:embedRegular r:id="rId9" w:fontKey="{6DDAD08B-495B-4E43-BED8-2432EDC76433}"/>
  </w:font>
  <w:font w:name="DengXian-Regular">
    <w:altName w:val="宋体"/>
    <w:panose1 w:val="00000000000000000000"/>
    <w:charset w:val="86"/>
    <w:family w:val="auto"/>
    <w:pitch w:val="default"/>
    <w:sig w:usb0="00000000" w:usb1="00000000" w:usb2="00000010" w:usb3="00000000" w:csb0="00040001" w:csb1="00000000"/>
    <w:embedRegular r:id="rId10" w:fontKey="{5A770530-8B89-48BB-9355-464E19D557EA}"/>
  </w:font>
  <w:font w:name="楷体_GB2312">
    <w:panose1 w:val="02010609030101010101"/>
    <w:charset w:val="86"/>
    <w:family w:val="modern"/>
    <w:pitch w:val="default"/>
    <w:sig w:usb0="00000000" w:usb1="00000000" w:usb2="00000000" w:usb3="00000000" w:csb0="00000000" w:csb1="00000000"/>
    <w:embedRegular r:id="rId11" w:fontKey="{379CF043-7E42-48B0-AF3B-0094878A9661}"/>
  </w:font>
  <w:font w:name="DengXian-Bold">
    <w:altName w:val="宋体"/>
    <w:panose1 w:val="00000000000000000000"/>
    <w:charset w:val="86"/>
    <w:family w:val="auto"/>
    <w:pitch w:val="default"/>
    <w:sig w:usb0="00000000" w:usb1="00000000" w:usb2="00000010" w:usb3="00000000" w:csb0="00040001" w:csb1="00000000"/>
    <w:embedRegular r:id="rId12" w:fontKey="{6C6C68DF-6965-4D25-B61A-064B644F25FC}"/>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764048"/>
    <w:multiLevelType w:val="singleLevel"/>
    <w:tmpl w:val="C2764048"/>
    <w:lvl w:ilvl="0" w:tentative="0">
      <w:start w:val="2"/>
      <w:numFmt w:val="chineseCounting"/>
      <w:suff w:val="nothing"/>
      <w:lvlText w:val="（%1）"/>
      <w:lvlJc w:val="left"/>
      <w:rPr>
        <w:rFonts w:hint="eastAsia"/>
      </w:rPr>
    </w:lvl>
  </w:abstractNum>
  <w:abstractNum w:abstractNumId="1">
    <w:nsid w:val="2EC71E9D"/>
    <w:multiLevelType w:val="singleLevel"/>
    <w:tmpl w:val="2EC71E9D"/>
    <w:lvl w:ilvl="0" w:tentative="0">
      <w:start w:val="2"/>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95D80"/>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18648EA"/>
    <w:rsid w:val="01966312"/>
    <w:rsid w:val="02460F0B"/>
    <w:rsid w:val="02FE1B1C"/>
    <w:rsid w:val="03CA1237"/>
    <w:rsid w:val="04073F84"/>
    <w:rsid w:val="045D33DE"/>
    <w:rsid w:val="04974066"/>
    <w:rsid w:val="04BE0389"/>
    <w:rsid w:val="05341FBD"/>
    <w:rsid w:val="05943F9F"/>
    <w:rsid w:val="061C6482"/>
    <w:rsid w:val="0696613A"/>
    <w:rsid w:val="06A215EA"/>
    <w:rsid w:val="07080996"/>
    <w:rsid w:val="07142A74"/>
    <w:rsid w:val="07230ACC"/>
    <w:rsid w:val="07A970E8"/>
    <w:rsid w:val="0AE33AE2"/>
    <w:rsid w:val="0AE62D1D"/>
    <w:rsid w:val="0AF63512"/>
    <w:rsid w:val="0B5B195B"/>
    <w:rsid w:val="0B60750A"/>
    <w:rsid w:val="0C9974F4"/>
    <w:rsid w:val="0D525C18"/>
    <w:rsid w:val="0D84044D"/>
    <w:rsid w:val="0D8F0E8C"/>
    <w:rsid w:val="0E2108A7"/>
    <w:rsid w:val="0E5E709D"/>
    <w:rsid w:val="0E7D67FC"/>
    <w:rsid w:val="0EBF0737"/>
    <w:rsid w:val="0ED93E86"/>
    <w:rsid w:val="10686488"/>
    <w:rsid w:val="10DF728A"/>
    <w:rsid w:val="1264200E"/>
    <w:rsid w:val="130B23A3"/>
    <w:rsid w:val="141C5B77"/>
    <w:rsid w:val="14404B22"/>
    <w:rsid w:val="14A12D91"/>
    <w:rsid w:val="15252E49"/>
    <w:rsid w:val="15483BEB"/>
    <w:rsid w:val="156678F3"/>
    <w:rsid w:val="16A961A2"/>
    <w:rsid w:val="16BB4F1D"/>
    <w:rsid w:val="16EB3C0C"/>
    <w:rsid w:val="18D8339D"/>
    <w:rsid w:val="19765093"/>
    <w:rsid w:val="1A21388F"/>
    <w:rsid w:val="1A570D2F"/>
    <w:rsid w:val="1A5A15D4"/>
    <w:rsid w:val="1B290C48"/>
    <w:rsid w:val="1C475431"/>
    <w:rsid w:val="1C7670BF"/>
    <w:rsid w:val="1D2C18CC"/>
    <w:rsid w:val="1D8968B9"/>
    <w:rsid w:val="1E6069D9"/>
    <w:rsid w:val="1EFA573F"/>
    <w:rsid w:val="1F725F8D"/>
    <w:rsid w:val="208142D6"/>
    <w:rsid w:val="20AF26BE"/>
    <w:rsid w:val="20E54663"/>
    <w:rsid w:val="21442C6F"/>
    <w:rsid w:val="21BC1031"/>
    <w:rsid w:val="21C837D1"/>
    <w:rsid w:val="22B42616"/>
    <w:rsid w:val="22E2267E"/>
    <w:rsid w:val="239D2CE2"/>
    <w:rsid w:val="240F20E2"/>
    <w:rsid w:val="248C34CC"/>
    <w:rsid w:val="24BB174A"/>
    <w:rsid w:val="24FE5B53"/>
    <w:rsid w:val="26105A52"/>
    <w:rsid w:val="270C23BC"/>
    <w:rsid w:val="272137D1"/>
    <w:rsid w:val="27D90330"/>
    <w:rsid w:val="283345B6"/>
    <w:rsid w:val="28FB0B8D"/>
    <w:rsid w:val="2A876D83"/>
    <w:rsid w:val="2A8A363B"/>
    <w:rsid w:val="2B303607"/>
    <w:rsid w:val="2B802B01"/>
    <w:rsid w:val="2B8458CE"/>
    <w:rsid w:val="2BE372E9"/>
    <w:rsid w:val="2D2B7942"/>
    <w:rsid w:val="2D46481D"/>
    <w:rsid w:val="2E4F2665"/>
    <w:rsid w:val="2E733B28"/>
    <w:rsid w:val="2EA82B2E"/>
    <w:rsid w:val="2FA8695B"/>
    <w:rsid w:val="30242C26"/>
    <w:rsid w:val="303D45D0"/>
    <w:rsid w:val="30F77026"/>
    <w:rsid w:val="31852B5A"/>
    <w:rsid w:val="31A93833"/>
    <w:rsid w:val="32D01238"/>
    <w:rsid w:val="32D90D75"/>
    <w:rsid w:val="33935A0F"/>
    <w:rsid w:val="35547F87"/>
    <w:rsid w:val="35826549"/>
    <w:rsid w:val="36946693"/>
    <w:rsid w:val="36DB4228"/>
    <w:rsid w:val="372A200E"/>
    <w:rsid w:val="374D6B57"/>
    <w:rsid w:val="38210E56"/>
    <w:rsid w:val="38CA5024"/>
    <w:rsid w:val="390D530C"/>
    <w:rsid w:val="39683E0B"/>
    <w:rsid w:val="3AC92BDF"/>
    <w:rsid w:val="3AE01F42"/>
    <w:rsid w:val="3B6131B8"/>
    <w:rsid w:val="3D36692A"/>
    <w:rsid w:val="3D921195"/>
    <w:rsid w:val="3DFC59A8"/>
    <w:rsid w:val="3E826414"/>
    <w:rsid w:val="3EB502FE"/>
    <w:rsid w:val="3ECF245E"/>
    <w:rsid w:val="3FB96314"/>
    <w:rsid w:val="401D0DC0"/>
    <w:rsid w:val="417C7D4E"/>
    <w:rsid w:val="41B24B59"/>
    <w:rsid w:val="41F94A92"/>
    <w:rsid w:val="43505144"/>
    <w:rsid w:val="4372735C"/>
    <w:rsid w:val="43852D68"/>
    <w:rsid w:val="441E6023"/>
    <w:rsid w:val="44347008"/>
    <w:rsid w:val="44A06704"/>
    <w:rsid w:val="45C306D7"/>
    <w:rsid w:val="45C66C61"/>
    <w:rsid w:val="46BB585C"/>
    <w:rsid w:val="472C6EB5"/>
    <w:rsid w:val="49190414"/>
    <w:rsid w:val="494027CE"/>
    <w:rsid w:val="49AA0E62"/>
    <w:rsid w:val="4ADF4E21"/>
    <w:rsid w:val="4AE50389"/>
    <w:rsid w:val="4BDF5D18"/>
    <w:rsid w:val="4BFF131E"/>
    <w:rsid w:val="4C034BCD"/>
    <w:rsid w:val="4D1050A6"/>
    <w:rsid w:val="4DA252B9"/>
    <w:rsid w:val="4E084B7C"/>
    <w:rsid w:val="50992587"/>
    <w:rsid w:val="50BD6CF4"/>
    <w:rsid w:val="511C4ECA"/>
    <w:rsid w:val="51886CC7"/>
    <w:rsid w:val="52865D12"/>
    <w:rsid w:val="535B1A71"/>
    <w:rsid w:val="53A44FAF"/>
    <w:rsid w:val="558D374F"/>
    <w:rsid w:val="55D060D8"/>
    <w:rsid w:val="56272B99"/>
    <w:rsid w:val="56464928"/>
    <w:rsid w:val="56E86553"/>
    <w:rsid w:val="57084D4D"/>
    <w:rsid w:val="577058E0"/>
    <w:rsid w:val="594329EC"/>
    <w:rsid w:val="5AAF4887"/>
    <w:rsid w:val="5ABD68E1"/>
    <w:rsid w:val="5B282514"/>
    <w:rsid w:val="5B33487A"/>
    <w:rsid w:val="5B6E04CD"/>
    <w:rsid w:val="5BCC595D"/>
    <w:rsid w:val="5BEE1540"/>
    <w:rsid w:val="5CE15E2F"/>
    <w:rsid w:val="5DB807E2"/>
    <w:rsid w:val="5DE61A5D"/>
    <w:rsid w:val="5EB011B0"/>
    <w:rsid w:val="60D24A8F"/>
    <w:rsid w:val="615C3821"/>
    <w:rsid w:val="629912D2"/>
    <w:rsid w:val="63C04243"/>
    <w:rsid w:val="64002B60"/>
    <w:rsid w:val="648B3FFA"/>
    <w:rsid w:val="649C01C7"/>
    <w:rsid w:val="64F449D3"/>
    <w:rsid w:val="663856C9"/>
    <w:rsid w:val="665B137B"/>
    <w:rsid w:val="66CF1164"/>
    <w:rsid w:val="67332C8B"/>
    <w:rsid w:val="687B2104"/>
    <w:rsid w:val="699A3F60"/>
    <w:rsid w:val="69EF5747"/>
    <w:rsid w:val="6BFC4304"/>
    <w:rsid w:val="6BFE1285"/>
    <w:rsid w:val="6C503C33"/>
    <w:rsid w:val="6D6F7B2A"/>
    <w:rsid w:val="6D881924"/>
    <w:rsid w:val="6D9279FF"/>
    <w:rsid w:val="6E4F0C8D"/>
    <w:rsid w:val="6E954529"/>
    <w:rsid w:val="6EC14DC8"/>
    <w:rsid w:val="6ED065C7"/>
    <w:rsid w:val="6F0D666D"/>
    <w:rsid w:val="701F72F4"/>
    <w:rsid w:val="70DA2512"/>
    <w:rsid w:val="72902E62"/>
    <w:rsid w:val="72E453A1"/>
    <w:rsid w:val="73C61104"/>
    <w:rsid w:val="74216630"/>
    <w:rsid w:val="742A701C"/>
    <w:rsid w:val="75C57BD8"/>
    <w:rsid w:val="776452EA"/>
    <w:rsid w:val="78DB1079"/>
    <w:rsid w:val="798F65AE"/>
    <w:rsid w:val="7A24703C"/>
    <w:rsid w:val="7A3D64B1"/>
    <w:rsid w:val="7A4062E8"/>
    <w:rsid w:val="7A766F88"/>
    <w:rsid w:val="7BAA5909"/>
    <w:rsid w:val="7D075664"/>
    <w:rsid w:val="7D9E417C"/>
    <w:rsid w:val="7DC663B9"/>
    <w:rsid w:val="7DDB7EE7"/>
    <w:rsid w:val="7FB24AA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纯文本1"/>
    <w:qFormat/>
    <w:uiPriority w:val="0"/>
    <w:pPr>
      <w:widowControl w:val="0"/>
      <w:jc w:val="both"/>
    </w:pPr>
    <w:rPr>
      <w:rFonts w:hint="eastAsia" w:ascii="宋体" w:hAnsi="Courier New" w:eastAsia="宋体" w:cs="仿宋_GB2312"/>
      <w:kern w:val="2"/>
      <w:sz w:val="21"/>
      <w:szCs w:val="21"/>
      <w:lang w:val="en-US" w:eastAsia="zh-CN" w:bidi="ar-SA"/>
    </w:rPr>
  </w:style>
  <w:style w:type="paragraph" w:styleId="7">
    <w:name w:val="Date"/>
    <w:basedOn w:val="1"/>
    <w:next w:val="1"/>
    <w:link w:val="32"/>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10"/>
    <w:qFormat/>
    <w:uiPriority w:val="99"/>
    <w:rPr>
      <w:sz w:val="18"/>
      <w:szCs w:val="18"/>
    </w:rPr>
  </w:style>
  <w:style w:type="character" w:customStyle="1" w:styleId="17">
    <w:name w:val="页脚 Char"/>
    <w:basedOn w:val="15"/>
    <w:link w:val="9"/>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8"/>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Char"/>
    <w:basedOn w:val="15"/>
    <w:link w:val="11"/>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3"/>
    <w:qFormat/>
    <w:uiPriority w:val="9"/>
    <w:rPr>
      <w:rFonts w:ascii="Times New Roman" w:hAnsi="Times New Roman" w:eastAsia="宋体" w:cs="Times New Roman"/>
      <w:b/>
      <w:bCs/>
      <w:kern w:val="44"/>
      <w:sz w:val="44"/>
      <w:szCs w:val="44"/>
    </w:rPr>
  </w:style>
  <w:style w:type="character" w:customStyle="1" w:styleId="29">
    <w:name w:val="标题 2 Char"/>
    <w:basedOn w:val="15"/>
    <w:link w:val="4"/>
    <w:qFormat/>
    <w:uiPriority w:val="9"/>
    <w:rPr>
      <w:rFonts w:asciiTheme="majorHAnsi" w:hAnsiTheme="majorHAnsi" w:eastAsiaTheme="majorEastAsia" w:cstheme="majorBidi"/>
      <w:b/>
      <w:bCs/>
      <w:sz w:val="32"/>
      <w:szCs w:val="32"/>
    </w:rPr>
  </w:style>
  <w:style w:type="character" w:customStyle="1" w:styleId="30">
    <w:name w:val="标题 3 Char"/>
    <w:basedOn w:val="15"/>
    <w:link w:val="5"/>
    <w:qFormat/>
    <w:uiPriority w:val="9"/>
    <w:rPr>
      <w:rFonts w:ascii="Times New Roman" w:hAnsi="Times New Roman" w:eastAsia="宋体" w:cs="Times New Roman"/>
      <w:b/>
      <w:bCs/>
      <w:sz w:val="32"/>
      <w:szCs w:val="32"/>
    </w:rPr>
  </w:style>
  <w:style w:type="character" w:customStyle="1" w:styleId="31">
    <w:name w:val="标题 4 Char"/>
    <w:basedOn w:val="15"/>
    <w:link w:val="6"/>
    <w:qFormat/>
    <w:uiPriority w:val="9"/>
    <w:rPr>
      <w:rFonts w:asciiTheme="majorHAnsi" w:hAnsiTheme="majorHAnsi" w:eastAsiaTheme="majorEastAsia" w:cstheme="majorBidi"/>
      <w:b/>
      <w:bCs/>
      <w:sz w:val="28"/>
      <w:szCs w:val="28"/>
    </w:rPr>
  </w:style>
  <w:style w:type="character" w:customStyle="1" w:styleId="32">
    <w:name w:val="日期 Char"/>
    <w:basedOn w:val="15"/>
    <w:link w:val="7"/>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CD849-8498-4D71-8BA8-27EB336527A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1615</Words>
  <Characters>9212</Characters>
  <Lines>76</Lines>
  <Paragraphs>21</Paragraphs>
  <TotalTime>0</TotalTime>
  <ScaleCrop>false</ScaleCrop>
  <LinksUpToDate>false</LinksUpToDate>
  <CharactersWithSpaces>10806</CharactersWithSpaces>
  <Application>WPS Office_11.8.2.8950_F1E327BC-269C-435d-A152-05C5408002CA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zy</cp:lastModifiedBy>
  <cp:lastPrinted>2019-08-02T01:01:00Z</cp:lastPrinted>
  <dcterms:modified xsi:type="dcterms:W3CDTF">2021-06-23T01:37:24Z</dcterms:modified>
  <dc:subject>石家庄市xxx部门</dc:subject>
  <dc:title>2017年度部门决算</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ies>
</file>